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B8C" w:rsidRPr="00157B8C" w:rsidRDefault="00157B8C" w:rsidP="00157B8C">
      <w:pPr>
        <w:pStyle w:val="a00"/>
        <w:spacing w:line="280" w:lineRule="atLeast"/>
      </w:pPr>
      <w:r w:rsidRPr="00157B8C">
        <w:t> </w:t>
      </w:r>
    </w:p>
    <w:p w:rsidR="00157B8C" w:rsidRPr="00157B8C" w:rsidRDefault="00157B8C" w:rsidP="00157B8C">
      <w:pPr>
        <w:pStyle w:val="a00"/>
        <w:spacing w:line="280" w:lineRule="atLeast"/>
        <w:jc w:val="center"/>
      </w:pPr>
      <w:bookmarkStart w:id="0" w:name="a2"/>
      <w:bookmarkEnd w:id="0"/>
      <w:r w:rsidRPr="00157B8C">
        <w:rPr>
          <w:b/>
          <w:bCs/>
        </w:rPr>
        <w:t>ПОСТАНОВЛЕНИЕ МИНИСТЕРСТВА ЭКОНОМИКИ РЕСПУБЛИКИ БЕЛАРУСЬ</w:t>
      </w:r>
    </w:p>
    <w:p w:rsidR="00157B8C" w:rsidRPr="00157B8C" w:rsidRDefault="00157B8C" w:rsidP="00157B8C">
      <w:pPr>
        <w:pStyle w:val="a00"/>
        <w:spacing w:line="280" w:lineRule="atLeast"/>
        <w:jc w:val="center"/>
      </w:pPr>
      <w:r w:rsidRPr="00157B8C">
        <w:rPr>
          <w:i/>
          <w:iCs/>
        </w:rPr>
        <w:t>30 сентября 2008 г. № 194</w:t>
      </w:r>
    </w:p>
    <w:p w:rsidR="00157B8C" w:rsidRPr="00157B8C" w:rsidRDefault="00157B8C" w:rsidP="00157B8C">
      <w:pPr>
        <w:pStyle w:val="af5"/>
        <w:spacing w:line="280" w:lineRule="atLeast"/>
      </w:pPr>
      <w:r w:rsidRPr="00157B8C">
        <w:t> </w:t>
      </w:r>
    </w:p>
    <w:p w:rsidR="00157B8C" w:rsidRPr="00157B8C" w:rsidRDefault="00157B8C" w:rsidP="00157B8C">
      <w:pPr>
        <w:pStyle w:val="nameleft"/>
        <w:spacing w:line="280" w:lineRule="atLeast"/>
        <w:rPr>
          <w:color w:val="auto"/>
        </w:rPr>
      </w:pPr>
      <w:r w:rsidRPr="00157B8C">
        <w:rPr>
          <w:color w:val="auto"/>
        </w:rPr>
        <w:t>Об утверждении Методических рекомендаций по планированию,</w:t>
      </w:r>
      <w:r w:rsidRPr="00157B8C">
        <w:rPr>
          <w:color w:val="auto"/>
        </w:rPr>
        <w:br/>
        <w:t>учету и калькулированию затрат на содержание и</w:t>
      </w:r>
      <w:r w:rsidRPr="00157B8C">
        <w:rPr>
          <w:color w:val="auto"/>
        </w:rPr>
        <w:br/>
        <w:t>функционирование детских оздоровительных лагерей</w:t>
      </w:r>
    </w:p>
    <w:p w:rsidR="00157B8C" w:rsidRPr="00157B8C" w:rsidRDefault="00157B8C" w:rsidP="00157B8C">
      <w:pPr>
        <w:pStyle w:val="af5"/>
        <w:spacing w:line="280" w:lineRule="atLeast"/>
      </w:pPr>
      <w:r w:rsidRPr="00157B8C">
        <w:t> </w:t>
      </w:r>
    </w:p>
    <w:p w:rsidR="00157B8C" w:rsidRPr="00157B8C" w:rsidRDefault="00157B8C" w:rsidP="00157B8C">
      <w:pPr>
        <w:pStyle w:val="justify"/>
        <w:spacing w:line="280" w:lineRule="atLeast"/>
      </w:pPr>
      <w:r w:rsidRPr="00157B8C">
        <w:t xml:space="preserve">На основании </w:t>
      </w:r>
      <w:r w:rsidRPr="00157B8C">
        <w:rPr>
          <w:rFonts w:eastAsiaTheme="majorEastAsia"/>
        </w:rPr>
        <w:t>Положения</w:t>
      </w:r>
      <w:r w:rsidRPr="00157B8C">
        <w:t xml:space="preserve"> о Министерстве экономики Республики Беларусь, утвержденного постановлением Совета Министров Республики Беларусь от 29 июля 2006 г. № 967 «Отдельные вопросы Министерства экономики Республики Беларусь», Министерство экономики Республики Беларусь</w:t>
      </w:r>
    </w:p>
    <w:p w:rsidR="00157B8C" w:rsidRPr="00157B8C" w:rsidRDefault="00157B8C" w:rsidP="00157B8C">
      <w:pPr>
        <w:pStyle w:val="a00"/>
        <w:spacing w:line="280" w:lineRule="atLeast"/>
      </w:pPr>
      <w:r w:rsidRPr="00157B8C">
        <w:t>ПОСТАНОВЛЯЕТ:</w:t>
      </w:r>
    </w:p>
    <w:p w:rsidR="00157B8C" w:rsidRPr="00157B8C" w:rsidRDefault="00157B8C" w:rsidP="00157B8C">
      <w:pPr>
        <w:pStyle w:val="justify"/>
        <w:spacing w:line="280" w:lineRule="atLeast"/>
      </w:pPr>
      <w:r w:rsidRPr="00157B8C">
        <w:t>1. Утвердить методические рекомендации по планированию, учету и калькулированию затрат на содержание и функционирование детских оздоровительных лагерей согласно приложению.</w:t>
      </w:r>
    </w:p>
    <w:p w:rsidR="00157B8C" w:rsidRPr="00157B8C" w:rsidRDefault="00157B8C" w:rsidP="00157B8C">
      <w:pPr>
        <w:pStyle w:val="justify"/>
        <w:spacing w:line="280" w:lineRule="atLeast"/>
      </w:pPr>
      <w:r w:rsidRPr="00157B8C">
        <w:t>2. Настоящее постановление вступает в силу 1 октября 2008 г.</w:t>
      </w:r>
    </w:p>
    <w:p w:rsidR="00157B8C" w:rsidRPr="00157B8C" w:rsidRDefault="00157B8C" w:rsidP="00157B8C">
      <w:pPr>
        <w:pStyle w:val="af5"/>
        <w:spacing w:line="280" w:lineRule="atLeast"/>
      </w:pPr>
      <w:r w:rsidRPr="00157B8C">
        <w:t> </w:t>
      </w:r>
    </w:p>
    <w:tbl>
      <w:tblPr>
        <w:tblW w:w="5000" w:type="pct"/>
        <w:tblLook w:val="04A0"/>
      </w:tblPr>
      <w:tblGrid>
        <w:gridCol w:w="4462"/>
        <w:gridCol w:w="6417"/>
      </w:tblGrid>
      <w:tr w:rsidR="00157B8C" w:rsidRPr="00157B8C" w:rsidTr="00157B8C">
        <w:tc>
          <w:tcPr>
            <w:tcW w:w="0" w:type="auto"/>
            <w:tcBorders>
              <w:top w:val="nil"/>
              <w:left w:val="nil"/>
              <w:bottom w:val="nil"/>
              <w:right w:val="nil"/>
            </w:tcBorders>
            <w:tcMar>
              <w:top w:w="0" w:type="dxa"/>
              <w:left w:w="0" w:type="dxa"/>
              <w:bottom w:w="0" w:type="dxa"/>
              <w:right w:w="0" w:type="dxa"/>
            </w:tcMar>
            <w:hideMark/>
          </w:tcPr>
          <w:p w:rsidR="00157B8C" w:rsidRPr="00157B8C" w:rsidRDefault="00157B8C">
            <w:pPr>
              <w:spacing w:line="280" w:lineRule="atLeast"/>
            </w:pPr>
            <w:r w:rsidRPr="00157B8C">
              <w:rPr>
                <w:b/>
                <w:bCs/>
                <w:i/>
                <w:iCs/>
              </w:rPr>
              <w:t>Министр</w:t>
            </w:r>
          </w:p>
        </w:tc>
        <w:tc>
          <w:tcPr>
            <w:tcW w:w="0" w:type="auto"/>
            <w:tcBorders>
              <w:top w:val="nil"/>
              <w:left w:val="nil"/>
              <w:bottom w:val="nil"/>
              <w:right w:val="nil"/>
            </w:tcBorders>
            <w:tcMar>
              <w:top w:w="0" w:type="dxa"/>
              <w:left w:w="0" w:type="dxa"/>
              <w:bottom w:w="0" w:type="dxa"/>
              <w:right w:w="0" w:type="dxa"/>
            </w:tcMar>
            <w:hideMark/>
          </w:tcPr>
          <w:p w:rsidR="00157B8C" w:rsidRPr="00157B8C" w:rsidRDefault="00157B8C">
            <w:pPr>
              <w:spacing w:line="280" w:lineRule="atLeast"/>
              <w:jc w:val="right"/>
            </w:pPr>
            <w:r w:rsidRPr="00157B8C">
              <w:rPr>
                <w:b/>
                <w:bCs/>
                <w:i/>
                <w:iCs/>
              </w:rPr>
              <w:t>Н.П.Зайченко</w:t>
            </w:r>
          </w:p>
        </w:tc>
      </w:tr>
    </w:tbl>
    <w:p w:rsidR="00157B8C" w:rsidRPr="00157B8C" w:rsidRDefault="00157B8C" w:rsidP="00157B8C">
      <w:pPr>
        <w:pStyle w:val="af5"/>
        <w:spacing w:line="280" w:lineRule="atLeast"/>
      </w:pPr>
      <w:r w:rsidRPr="00157B8C">
        <w:t> </w:t>
      </w:r>
    </w:p>
    <w:tbl>
      <w:tblPr>
        <w:tblW w:w="5000" w:type="pct"/>
        <w:tblLook w:val="04A0"/>
      </w:tblPr>
      <w:tblGrid>
        <w:gridCol w:w="7879"/>
        <w:gridCol w:w="3000"/>
      </w:tblGrid>
      <w:tr w:rsidR="00157B8C" w:rsidRPr="00157B8C" w:rsidTr="00157B8C">
        <w:tc>
          <w:tcPr>
            <w:tcW w:w="0" w:type="auto"/>
            <w:tcBorders>
              <w:top w:val="nil"/>
              <w:left w:val="nil"/>
              <w:bottom w:val="nil"/>
              <w:right w:val="nil"/>
            </w:tcBorders>
            <w:tcMar>
              <w:top w:w="0" w:type="dxa"/>
              <w:left w:w="0" w:type="dxa"/>
              <w:bottom w:w="0" w:type="dxa"/>
              <w:right w:w="0" w:type="dxa"/>
            </w:tcMar>
            <w:hideMark/>
          </w:tcPr>
          <w:p w:rsidR="00157B8C" w:rsidRPr="00157B8C" w:rsidRDefault="00157B8C">
            <w:pPr>
              <w:spacing w:line="280" w:lineRule="atLeast"/>
            </w:pPr>
            <w:r w:rsidRPr="00157B8C">
              <w:t> </w:t>
            </w:r>
          </w:p>
        </w:tc>
        <w:tc>
          <w:tcPr>
            <w:tcW w:w="3000" w:type="dxa"/>
            <w:tcBorders>
              <w:top w:val="nil"/>
              <w:left w:val="nil"/>
              <w:bottom w:val="nil"/>
              <w:right w:val="nil"/>
            </w:tcBorders>
            <w:tcMar>
              <w:top w:w="0" w:type="dxa"/>
              <w:left w:w="0" w:type="dxa"/>
              <w:bottom w:w="0" w:type="dxa"/>
              <w:right w:w="0" w:type="dxa"/>
            </w:tcMar>
            <w:hideMark/>
          </w:tcPr>
          <w:p w:rsidR="00157B8C" w:rsidRPr="00157B8C" w:rsidRDefault="00157B8C">
            <w:pPr>
              <w:spacing w:line="280" w:lineRule="atLeast"/>
            </w:pPr>
            <w:r w:rsidRPr="00157B8C">
              <w:rPr>
                <w:i/>
                <w:iCs/>
              </w:rPr>
              <w:t xml:space="preserve">Приложение </w:t>
            </w:r>
            <w:r w:rsidRPr="00157B8C">
              <w:rPr>
                <w:i/>
                <w:iCs/>
              </w:rPr>
              <w:br/>
              <w:t>к постановлению</w:t>
            </w:r>
            <w:r w:rsidRPr="00157B8C">
              <w:rPr>
                <w:i/>
                <w:iCs/>
              </w:rPr>
              <w:br/>
              <w:t>Министерства экономики</w:t>
            </w:r>
            <w:r w:rsidRPr="00157B8C">
              <w:rPr>
                <w:i/>
                <w:iCs/>
              </w:rPr>
              <w:br/>
              <w:t xml:space="preserve">Республики Беларусь </w:t>
            </w:r>
            <w:r w:rsidRPr="00157B8C">
              <w:rPr>
                <w:i/>
                <w:iCs/>
              </w:rPr>
              <w:br/>
              <w:t>30.09.2008 № 194 </w:t>
            </w:r>
          </w:p>
        </w:tc>
      </w:tr>
    </w:tbl>
    <w:p w:rsidR="00157B8C" w:rsidRPr="00157B8C" w:rsidRDefault="00157B8C" w:rsidP="00157B8C">
      <w:pPr>
        <w:pStyle w:val="y3"/>
        <w:spacing w:line="280" w:lineRule="atLeast"/>
      </w:pPr>
      <w:bookmarkStart w:id="1" w:name="a1"/>
      <w:bookmarkEnd w:id="1"/>
      <w:r w:rsidRPr="00157B8C">
        <w:rPr>
          <w:b/>
          <w:bCs/>
        </w:rPr>
        <w:t>Методические рекомендации по планированию, учету и калькулированию затрат на содержание и функционирование детских оздоровительных лагерей</w:t>
      </w:r>
    </w:p>
    <w:p w:rsidR="00157B8C" w:rsidRPr="00157B8C" w:rsidRDefault="00157B8C" w:rsidP="00157B8C">
      <w:pPr>
        <w:pStyle w:val="y3"/>
        <w:spacing w:line="280" w:lineRule="atLeast"/>
      </w:pPr>
      <w:r w:rsidRPr="00157B8C">
        <w:t>ГЛАВА 1</w:t>
      </w:r>
      <w:r w:rsidRPr="00157B8C">
        <w:br/>
        <w:t>ОБЩИЕ ПОЛОЖЕНИЯ</w:t>
      </w:r>
    </w:p>
    <w:p w:rsidR="00157B8C" w:rsidRPr="00157B8C" w:rsidRDefault="00157B8C" w:rsidP="00157B8C">
      <w:pPr>
        <w:pStyle w:val="justify"/>
        <w:spacing w:line="280" w:lineRule="atLeast"/>
      </w:pPr>
      <w:r w:rsidRPr="00157B8C">
        <w:t xml:space="preserve">1. Методические рекомендации по планированию, учету и калькулированию затрат на содержание и функционирование детских оздоровительных лагерей (далее - методические рекомендации) разработаны в соответствии с </w:t>
      </w:r>
      <w:r w:rsidRPr="00157B8C">
        <w:rPr>
          <w:rFonts w:eastAsiaTheme="majorEastAsia"/>
        </w:rPr>
        <w:t>Инструкцией</w:t>
      </w:r>
      <w:r w:rsidRPr="00157B8C">
        <w:t xml:space="preserve"> о порядке ценообразования на путевки в санаторно-курортные и оздоровительные организации, утвержденной постановлением Министерства экономики Республики Беларусь от 24 ноября 2005 г. № 206 (Национальный реестр правовых актов Республики Беларусь, 2005 г., № 193, 8/13515), в целях совершенствования планирования, учета и калькулирования затрат на содержание и функционирование детских оздоровительных лагерей.</w:t>
      </w:r>
    </w:p>
    <w:p w:rsidR="00157B8C" w:rsidRPr="00157B8C" w:rsidRDefault="00157B8C" w:rsidP="00157B8C">
      <w:pPr>
        <w:pStyle w:val="justify"/>
        <w:spacing w:line="280" w:lineRule="atLeast"/>
      </w:pPr>
      <w:bookmarkStart w:id="2" w:name="a6"/>
      <w:bookmarkEnd w:id="2"/>
      <w:r w:rsidRPr="00157B8C">
        <w:t>2. Настоящие методические рекомендации устанавливают единый порядок планирования, учета и калькулирования затрат на содержание и функционирование детских оздоровительных лагерей с дневным и круглосуточным пребыванием, принадлежащих юридическим лицам и индивидуальным предпринимателям (далее - заказчики), и рекомендуются к применению юридическими лицами всех форм собственности и индивидуальными предпринимателями, оказывающими данные услуги (далее - субъекты предпринимательской деятельности).</w:t>
      </w:r>
    </w:p>
    <w:p w:rsidR="00157B8C" w:rsidRPr="00157B8C" w:rsidRDefault="00157B8C" w:rsidP="00157B8C">
      <w:pPr>
        <w:pStyle w:val="justify"/>
        <w:spacing w:line="280" w:lineRule="atLeast"/>
      </w:pPr>
      <w:r w:rsidRPr="00157B8C">
        <w:t>3. Планирование стоимости путевок в лагеря осуществляется по возрастным группам с последующим утверждением соответствующих цен на путевки для каждой возрастной группы отдельно.</w:t>
      </w:r>
    </w:p>
    <w:p w:rsidR="00157B8C" w:rsidRPr="00157B8C" w:rsidRDefault="00157B8C" w:rsidP="00157B8C">
      <w:pPr>
        <w:pStyle w:val="justify"/>
        <w:spacing w:line="280" w:lineRule="atLeast"/>
      </w:pPr>
      <w:r w:rsidRPr="00157B8C">
        <w:t>4. Оздоровительный период включает время со дня начала заезда первой смены и дня окончания последней смены и подготовительный период не более одного месяца сверх сезона.</w:t>
      </w:r>
    </w:p>
    <w:p w:rsidR="00157B8C" w:rsidRPr="00157B8C" w:rsidRDefault="00157B8C" w:rsidP="00157B8C">
      <w:pPr>
        <w:pStyle w:val="y3"/>
        <w:spacing w:line="280" w:lineRule="atLeast"/>
      </w:pPr>
      <w:bookmarkStart w:id="3" w:name="a4"/>
      <w:bookmarkEnd w:id="3"/>
      <w:r w:rsidRPr="00157B8C">
        <w:t>ГЛАВА 2</w:t>
      </w:r>
      <w:r w:rsidRPr="00157B8C">
        <w:br/>
        <w:t>СТАТЬИ ЗАТРАТ, ВКЛЮЧАЕМЫЕ В СЕБЕСТОИМОСТЬ ПУТЕВКИ</w:t>
      </w:r>
    </w:p>
    <w:p w:rsidR="00157B8C" w:rsidRPr="00157B8C" w:rsidRDefault="00157B8C" w:rsidP="00157B8C">
      <w:pPr>
        <w:pStyle w:val="justify"/>
        <w:spacing w:line="280" w:lineRule="atLeast"/>
      </w:pPr>
      <w:r w:rsidRPr="00157B8C">
        <w:lastRenderedPageBreak/>
        <w:t>5. При формировании стоимости путевок в детские оздоровительные лагеря (далее - лагеря) включение затрат в себестоимость осуществляется в соответствии с законодательством, определяющим состав затрат, включаемых в себестоимость продукции (работ, услуг), другими нормативными актами.</w:t>
      </w:r>
    </w:p>
    <w:p w:rsidR="00157B8C" w:rsidRPr="00157B8C" w:rsidRDefault="00157B8C" w:rsidP="00157B8C">
      <w:pPr>
        <w:pStyle w:val="justify"/>
        <w:spacing w:line="280" w:lineRule="atLeast"/>
      </w:pPr>
      <w:bookmarkStart w:id="4" w:name="a5"/>
      <w:bookmarkEnd w:id="4"/>
      <w:r w:rsidRPr="00157B8C">
        <w:t>6. Расчет стоимости путевок в лагеря рекомендуется производить по следующим статьям затрат:</w:t>
      </w:r>
    </w:p>
    <w:p w:rsidR="00157B8C" w:rsidRPr="00157B8C" w:rsidRDefault="00157B8C" w:rsidP="00157B8C">
      <w:pPr>
        <w:pStyle w:val="justify"/>
        <w:spacing w:line="280" w:lineRule="atLeast"/>
      </w:pPr>
      <w:r w:rsidRPr="00157B8C">
        <w:t>затраты на оплату труда;</w:t>
      </w:r>
    </w:p>
    <w:p w:rsidR="00157B8C" w:rsidRPr="00157B8C" w:rsidRDefault="00157B8C" w:rsidP="00157B8C">
      <w:pPr>
        <w:pStyle w:val="justify"/>
        <w:spacing w:line="280" w:lineRule="atLeast"/>
      </w:pPr>
      <w:r w:rsidRPr="00157B8C">
        <w:t>отчисления на социальные нужды;</w:t>
      </w:r>
    </w:p>
    <w:p w:rsidR="00157B8C" w:rsidRPr="00157B8C" w:rsidRDefault="00157B8C" w:rsidP="00157B8C">
      <w:pPr>
        <w:pStyle w:val="justify"/>
        <w:spacing w:line="280" w:lineRule="atLeast"/>
      </w:pPr>
      <w:r w:rsidRPr="00157B8C">
        <w:t>затраты на питание;</w:t>
      </w:r>
    </w:p>
    <w:p w:rsidR="00157B8C" w:rsidRPr="00157B8C" w:rsidRDefault="00157B8C" w:rsidP="00157B8C">
      <w:pPr>
        <w:pStyle w:val="justify"/>
        <w:spacing w:line="280" w:lineRule="atLeast"/>
      </w:pPr>
      <w:r w:rsidRPr="00157B8C">
        <w:t>затраты на медикаменты;</w:t>
      </w:r>
    </w:p>
    <w:p w:rsidR="00157B8C" w:rsidRPr="00157B8C" w:rsidRDefault="00157B8C" w:rsidP="00157B8C">
      <w:pPr>
        <w:pStyle w:val="justify"/>
        <w:spacing w:line="280" w:lineRule="atLeast"/>
      </w:pPr>
      <w:r w:rsidRPr="00157B8C">
        <w:t>затраты на культурно-массовые и спортивные мероприятия;</w:t>
      </w:r>
    </w:p>
    <w:p w:rsidR="00157B8C" w:rsidRPr="00157B8C" w:rsidRDefault="00157B8C" w:rsidP="00157B8C">
      <w:pPr>
        <w:pStyle w:val="justify"/>
        <w:spacing w:line="280" w:lineRule="atLeast"/>
      </w:pPr>
      <w:r w:rsidRPr="00157B8C">
        <w:t>хозяйственные расходы;</w:t>
      </w:r>
    </w:p>
    <w:p w:rsidR="00157B8C" w:rsidRPr="00157B8C" w:rsidRDefault="00157B8C" w:rsidP="00157B8C">
      <w:pPr>
        <w:pStyle w:val="justify"/>
        <w:spacing w:line="280" w:lineRule="atLeast"/>
      </w:pPr>
      <w:r w:rsidRPr="00157B8C">
        <w:t>амортизация основных средств и нематериальных активов;</w:t>
      </w:r>
    </w:p>
    <w:p w:rsidR="00157B8C" w:rsidRPr="00157B8C" w:rsidRDefault="00157B8C" w:rsidP="00157B8C">
      <w:pPr>
        <w:pStyle w:val="justify"/>
        <w:spacing w:line="280" w:lineRule="atLeast"/>
      </w:pPr>
      <w:r w:rsidRPr="00157B8C">
        <w:t>потеря стоимости средств в обороте;</w:t>
      </w:r>
    </w:p>
    <w:p w:rsidR="00157B8C" w:rsidRPr="00157B8C" w:rsidRDefault="00157B8C" w:rsidP="00157B8C">
      <w:pPr>
        <w:pStyle w:val="justify"/>
        <w:spacing w:line="280" w:lineRule="atLeast"/>
      </w:pPr>
      <w:r w:rsidRPr="00157B8C">
        <w:t>прочие расходы.</w:t>
      </w:r>
    </w:p>
    <w:p w:rsidR="00157B8C" w:rsidRPr="00157B8C" w:rsidRDefault="00157B8C" w:rsidP="00157B8C">
      <w:pPr>
        <w:pStyle w:val="justify"/>
        <w:spacing w:line="280" w:lineRule="atLeast"/>
      </w:pPr>
      <w:r w:rsidRPr="00157B8C">
        <w:t>6.1. В статье «Затраты на оплату труда» отражаются выплаты по заработной плате работникам лагеря в оздоровительный период за фактически выполненную работу, отработанное время и за периоды, включаемые в рабочее время, а также дополнительные выплаты стимулирующего и компенсирующего характера, иные выплаты, установленные законодательством.</w:t>
      </w:r>
    </w:p>
    <w:p w:rsidR="00157B8C" w:rsidRPr="00157B8C" w:rsidRDefault="00157B8C" w:rsidP="00157B8C">
      <w:pPr>
        <w:pStyle w:val="justify"/>
        <w:spacing w:line="280" w:lineRule="atLeast"/>
      </w:pPr>
      <w:r w:rsidRPr="00157B8C">
        <w:t>В состав затрат на оплату труда в соответствии с законодательством включаются:</w:t>
      </w:r>
    </w:p>
    <w:p w:rsidR="00157B8C" w:rsidRPr="00157B8C" w:rsidRDefault="00157B8C" w:rsidP="00157B8C">
      <w:pPr>
        <w:pStyle w:val="justify"/>
        <w:spacing w:line="280" w:lineRule="atLeast"/>
      </w:pPr>
      <w:r w:rsidRPr="00157B8C">
        <w:t>заработная плата, начисленная работникам на основе тарифных ставок (окладов), часовых тарифных ставок (окладов) с учетом их повышений, предусмотренных законодательством, фиксированных должностных окладов, сдельных расценок за фактически выполненную работу и за отработанное время в зависимости от количества и сложности выполняемой работы, квалификации работников в соответствии с принятыми в организации формами и системами оплаты труда;</w:t>
      </w:r>
    </w:p>
    <w:p w:rsidR="00157B8C" w:rsidRPr="00157B8C" w:rsidRDefault="00157B8C" w:rsidP="00157B8C">
      <w:pPr>
        <w:pStyle w:val="justify"/>
        <w:spacing w:line="280" w:lineRule="atLeast"/>
      </w:pPr>
      <w:r w:rsidRPr="00157B8C">
        <w:t>выплаты по системам премирования работникам за производственные результаты в размерах, предусмотренных законодательством;</w:t>
      </w:r>
    </w:p>
    <w:p w:rsidR="00157B8C" w:rsidRPr="00157B8C" w:rsidRDefault="00157B8C" w:rsidP="00157B8C">
      <w:pPr>
        <w:pStyle w:val="justify"/>
        <w:spacing w:line="280" w:lineRule="atLeast"/>
      </w:pPr>
      <w:r w:rsidRPr="00157B8C">
        <w:t>выплаты компенсирующего характера, связанные с режимом работы и условиями труда, в том числе: доплаты за особый характер работы водителям служебных легковых автомобилей, доплаты за работу в ночное время или в ночную смену при сменном режиме работы в размерах, предусмотренных законодательством, оплата за работу в государственные и праздничные дни, установленные и объявленные Президентом Республики Беларусь нерабочими, доплаты за работу с вредными и (или) опасными условиями труда, доплаты за совмещение профессий (должностей), расширение зоны обслуживания (увеличение объема выполняемых работ), выполнение обязанностей временно отсутствующего работника;</w:t>
      </w:r>
    </w:p>
    <w:p w:rsidR="00157B8C" w:rsidRPr="00157B8C" w:rsidRDefault="00157B8C" w:rsidP="00157B8C">
      <w:pPr>
        <w:pStyle w:val="justify"/>
        <w:spacing w:line="280" w:lineRule="atLeast"/>
      </w:pPr>
      <w:r w:rsidRPr="00157B8C">
        <w:t>компенсация за неиспользованный трудовой отпуск;</w:t>
      </w:r>
    </w:p>
    <w:p w:rsidR="00157B8C" w:rsidRPr="00157B8C" w:rsidRDefault="00157B8C" w:rsidP="00157B8C">
      <w:pPr>
        <w:pStyle w:val="justify"/>
        <w:spacing w:line="280" w:lineRule="atLeast"/>
      </w:pPr>
      <w:r w:rsidRPr="00157B8C">
        <w:t>выплаты стимулирующего характера: надбавки руководителям, специалистам и служащим за высокие творческие достижения в работе, сложность и напряженность труда, за выполнение особо важных (срочных) работ, за классность водителям, за профессиональное мастерство рабочим, за наличие квалификационной категории специалистам, за продолжительность непрерывной работы (вознаграждение за выслугу лет, стаж работы), с учетом предельных размеров, установленных законодательством;</w:t>
      </w:r>
    </w:p>
    <w:p w:rsidR="00157B8C" w:rsidRPr="00157B8C" w:rsidRDefault="00157B8C" w:rsidP="00157B8C">
      <w:pPr>
        <w:pStyle w:val="justify"/>
        <w:spacing w:line="280" w:lineRule="atLeast"/>
      </w:pPr>
      <w:r w:rsidRPr="00157B8C">
        <w:t>выплата вознаграждения гражданам за выполнение ими работ, оказание услуг по заключенным договорам гражданско-правового характера, если расчеты с гражданами за выполненную работу производятся непосредственно самой организацией. При этом размер средств на выплату вознаграждения работникам за выполнение работ (услуг) по договорам определяется исходя из сметы на выполнение этих работ (услуг) и платежных документов;</w:t>
      </w:r>
    </w:p>
    <w:p w:rsidR="00157B8C" w:rsidRPr="00157B8C" w:rsidRDefault="00157B8C" w:rsidP="00157B8C">
      <w:pPr>
        <w:pStyle w:val="justify"/>
        <w:spacing w:line="280" w:lineRule="atLeast"/>
      </w:pPr>
      <w:r w:rsidRPr="00157B8C">
        <w:t>другие виды выплат, включаемые в соответствии с установленным порядком в фонд оплаты труда (за исключением расходов по оплате труда, финансируемых за счет других целевых поступлений).</w:t>
      </w:r>
    </w:p>
    <w:p w:rsidR="00157B8C" w:rsidRPr="00157B8C" w:rsidRDefault="00157B8C" w:rsidP="00157B8C">
      <w:pPr>
        <w:pStyle w:val="justify"/>
        <w:spacing w:line="280" w:lineRule="atLeast"/>
      </w:pPr>
      <w:r w:rsidRPr="00157B8C">
        <w:t>В оплату труда не включаются:</w:t>
      </w:r>
    </w:p>
    <w:p w:rsidR="00157B8C" w:rsidRPr="00157B8C" w:rsidRDefault="00157B8C" w:rsidP="00157B8C">
      <w:pPr>
        <w:pStyle w:val="justify"/>
        <w:spacing w:line="280" w:lineRule="atLeast"/>
      </w:pPr>
      <w:r w:rsidRPr="00157B8C">
        <w:t>премии, выплаченные за счет фонда специального назначения и целевых поступлений, а также выплаты по системам премирования рабочих, руководителей и служащих за производственные результаты сверх размеров, предусмотренных законодательством;</w:t>
      </w:r>
    </w:p>
    <w:p w:rsidR="00157B8C" w:rsidRPr="00157B8C" w:rsidRDefault="00157B8C" w:rsidP="00157B8C">
      <w:pPr>
        <w:pStyle w:val="justify"/>
        <w:spacing w:line="280" w:lineRule="atLeast"/>
      </w:pPr>
      <w:r w:rsidRPr="00157B8C">
        <w:t>материальная помощь;</w:t>
      </w:r>
    </w:p>
    <w:p w:rsidR="00157B8C" w:rsidRPr="00157B8C" w:rsidRDefault="00157B8C" w:rsidP="00157B8C">
      <w:pPr>
        <w:pStyle w:val="justify"/>
        <w:spacing w:line="280" w:lineRule="atLeast"/>
      </w:pPr>
      <w:r w:rsidRPr="00157B8C">
        <w:lastRenderedPageBreak/>
        <w:t>другие виды выплат, не связанные непосредственно с оплатой труда.</w:t>
      </w:r>
    </w:p>
    <w:p w:rsidR="00157B8C" w:rsidRPr="00157B8C" w:rsidRDefault="00157B8C" w:rsidP="00157B8C">
      <w:pPr>
        <w:pStyle w:val="justify"/>
        <w:spacing w:line="280" w:lineRule="atLeast"/>
      </w:pPr>
      <w:r w:rsidRPr="00157B8C">
        <w:t>6.2. В статью «Отчисления на социальные нужды» включаются:</w:t>
      </w:r>
    </w:p>
    <w:p w:rsidR="00157B8C" w:rsidRPr="00157B8C" w:rsidRDefault="00157B8C" w:rsidP="00157B8C">
      <w:pPr>
        <w:pStyle w:val="justify"/>
        <w:spacing w:line="280" w:lineRule="atLeast"/>
      </w:pPr>
      <w:r w:rsidRPr="00157B8C">
        <w:t>обязательные страховые взносы по установленным законодательством нормам в государственный внебюджетный Фонд социальной защиты населения Министерства труда и социальной защиты Республики Беларусь по всем видам оплаты труда работников независимо от источников выплат, кроме тех, на которые страховые взносы не начисляются.</w:t>
      </w:r>
    </w:p>
    <w:p w:rsidR="00157B8C" w:rsidRPr="00157B8C" w:rsidRDefault="00157B8C" w:rsidP="00157B8C">
      <w:pPr>
        <w:pStyle w:val="justify"/>
        <w:spacing w:line="280" w:lineRule="atLeast"/>
      </w:pPr>
      <w:bookmarkStart w:id="5" w:name="a3"/>
      <w:bookmarkEnd w:id="5"/>
      <w:r w:rsidRPr="00157B8C">
        <w:t>6.3. В статью «Затраты на питание» включаются расходы на продукты питания в лагерях сезонного функционирования согласно денежным нормам расходов на питание детей, ежегодно утверждаемым Правительством Республики Беларусь, по возрастным группам в соответствии с плановой численностью оздоравливаемых детей, исходя из натуральных норм питания для детских оздоровительных лагерей, установленных в соответствии с законодательством.</w:t>
      </w:r>
    </w:p>
    <w:p w:rsidR="00157B8C" w:rsidRPr="00157B8C" w:rsidRDefault="00157B8C" w:rsidP="00157B8C">
      <w:pPr>
        <w:pStyle w:val="justify"/>
        <w:spacing w:line="280" w:lineRule="atLeast"/>
      </w:pPr>
      <w:bookmarkStart w:id="6" w:name="a8"/>
      <w:bookmarkEnd w:id="6"/>
      <w:r w:rsidRPr="00157B8C">
        <w:t>Продукты питания включаются в стоимость путевки по ценам их приобретения без взимания торговых надбавок и наценок, установленных для организаций общественного питания.</w:t>
      </w:r>
    </w:p>
    <w:p w:rsidR="00157B8C" w:rsidRPr="00157B8C" w:rsidRDefault="00157B8C" w:rsidP="00157B8C">
      <w:pPr>
        <w:pStyle w:val="justify"/>
        <w:spacing w:line="280" w:lineRule="atLeast"/>
      </w:pPr>
      <w:r w:rsidRPr="00157B8C">
        <w:t>В случае, если питание обеспечивается не лагерем, а иной организацией, индивидуальным предпринимателем в соответствии с заключенным договором, расходы на питание включаются в цену путевок по розничным ценам, сформированным указанной организацией общественного питания в соответствии с порядком ценообразования на продукцию общественного питания, установленным в соответствии с законодательством.</w:t>
      </w:r>
    </w:p>
    <w:p w:rsidR="00157B8C" w:rsidRPr="00157B8C" w:rsidRDefault="00157B8C" w:rsidP="00157B8C">
      <w:pPr>
        <w:pStyle w:val="justify"/>
        <w:spacing w:line="280" w:lineRule="atLeast"/>
      </w:pPr>
      <w:r w:rsidRPr="00157B8C">
        <w:t>В расчет стоимости набора продуктов включается цена первого продавца (производителя) и налог на добавленную стоимость, приходящийся на цену первого продавца (производителя).</w:t>
      </w:r>
    </w:p>
    <w:p w:rsidR="00157B8C" w:rsidRPr="00157B8C" w:rsidRDefault="00157B8C" w:rsidP="00157B8C">
      <w:pPr>
        <w:pStyle w:val="justify"/>
        <w:spacing w:line="280" w:lineRule="atLeast"/>
      </w:pPr>
      <w:bookmarkStart w:id="7" w:name="a9"/>
      <w:bookmarkEnd w:id="7"/>
      <w:r w:rsidRPr="00157B8C">
        <w:t xml:space="preserve">При составлении дневной ведомости расхода продуктов для приготовления блюд используют Сборник рецептур блюд и кулинарных изделий для предприятий общественного питания независимо от ведомственной принадлежности и форм собственности, утвержденный </w:t>
      </w:r>
      <w:r w:rsidRPr="00157B8C">
        <w:rPr>
          <w:rFonts w:eastAsiaTheme="majorEastAsia"/>
        </w:rPr>
        <w:t>приказом</w:t>
      </w:r>
      <w:r w:rsidRPr="00157B8C">
        <w:t xml:space="preserve"> Министерства торговли Республики Беларусь от 9 ноября 1995 г. № 70.</w:t>
      </w:r>
    </w:p>
    <w:p w:rsidR="00157B8C" w:rsidRPr="00157B8C" w:rsidRDefault="00157B8C" w:rsidP="00157B8C">
      <w:pPr>
        <w:pStyle w:val="justify"/>
        <w:spacing w:line="280" w:lineRule="atLeast"/>
      </w:pPr>
      <w:r w:rsidRPr="00157B8C">
        <w:t>Сверхнормативные потери, порча, недостачи и прочее в затраты на питание не включаются.</w:t>
      </w:r>
    </w:p>
    <w:p w:rsidR="00157B8C" w:rsidRPr="00157B8C" w:rsidRDefault="00157B8C" w:rsidP="00157B8C">
      <w:pPr>
        <w:pStyle w:val="justify"/>
        <w:spacing w:line="280" w:lineRule="atLeast"/>
      </w:pPr>
      <w:r w:rsidRPr="00157B8C">
        <w:t>6.4. В статью «Затраты на медикаменты» включается стоимость лекарственных средств, изделий медицинского назначения для оказания первичной медицинской помощи в соответствии с перечнем, утвержденным Министерством здравоохранения Республики Беларусь, медицинского инвентаря, процедур, получаемых со стороны, услуг врачей-консультантов, лабораторий и пр.</w:t>
      </w:r>
    </w:p>
    <w:p w:rsidR="00157B8C" w:rsidRPr="00157B8C" w:rsidRDefault="00157B8C" w:rsidP="00157B8C">
      <w:pPr>
        <w:pStyle w:val="justify"/>
        <w:spacing w:line="280" w:lineRule="atLeast"/>
      </w:pPr>
      <w:r w:rsidRPr="00157B8C">
        <w:t>Стоимость медикаментов включается в стоимость путевок по ценам их приобретения с возмещением транспортно-заготовительных расходов.</w:t>
      </w:r>
    </w:p>
    <w:p w:rsidR="00157B8C" w:rsidRPr="00157B8C" w:rsidRDefault="00157B8C" w:rsidP="00157B8C">
      <w:pPr>
        <w:pStyle w:val="justify"/>
        <w:spacing w:line="280" w:lineRule="atLeast"/>
      </w:pPr>
      <w:bookmarkStart w:id="8" w:name="a7"/>
      <w:bookmarkEnd w:id="8"/>
      <w:r w:rsidRPr="00157B8C">
        <w:t>6.5. В статью «Затраты на культурно-массовые и спортивные мероприятия» включаются расходы на показ кинофильмов, проведение концертов, спектаклей, цирковых представлений, экскурсий, лекций, конкурсов, спортивных мероприятий и других развлекательных мероприятий в соответствии с планом работы лагеря и программой, рекомендуемой Министерством образования Республики Беларусь для оздоровительных лагерей, а также расходы на приобретение спортивного инвентаря, на поощрение участников и победителей культмассовых и спортивных мероприятий.</w:t>
      </w:r>
    </w:p>
    <w:p w:rsidR="00157B8C" w:rsidRPr="00157B8C" w:rsidRDefault="00157B8C" w:rsidP="00157B8C">
      <w:pPr>
        <w:pStyle w:val="justify"/>
        <w:spacing w:line="280" w:lineRule="atLeast"/>
      </w:pPr>
      <w:r w:rsidRPr="00157B8C">
        <w:t>Стоимость призов участникам культурно-массовых и спортивных мероприятий за 1, 2, 3-е места (каждое) не должна превышать 0,5 базовой величины, стоимость призов командам участников мероприятий не должна превышать трех базовых величин.</w:t>
      </w:r>
    </w:p>
    <w:p w:rsidR="00157B8C" w:rsidRPr="00157B8C" w:rsidRDefault="00157B8C" w:rsidP="00157B8C">
      <w:pPr>
        <w:pStyle w:val="justify"/>
        <w:spacing w:line="280" w:lineRule="atLeast"/>
      </w:pPr>
      <w:r w:rsidRPr="00157B8C">
        <w:t>6.6. В статью «Хозяйственные расходы» включаются затраты в оздоровительный период на оплату коммунальных услуг; транспортные расходы; расходы на охрану труда и технику безопасности; моющие средства и хозяйственные материалы; услуги санитарно-эпидемиологической службы и территориальных медицинских объединений; расходы на приобретение санитарных книжек и проведение медицинского осмотра работников, подлежащих обязательному осмотру в соответствии с санитарными правилами; заготовительно-складские расходы; услуги сторонних организаций по обслуживанию технологического и медицинского оборудования и прочие услуги.</w:t>
      </w:r>
    </w:p>
    <w:p w:rsidR="00157B8C" w:rsidRPr="00157B8C" w:rsidRDefault="00157B8C" w:rsidP="00157B8C">
      <w:pPr>
        <w:pStyle w:val="justify"/>
        <w:spacing w:line="280" w:lineRule="atLeast"/>
      </w:pPr>
      <w:r w:rsidRPr="00157B8C">
        <w:t>6.7. В статье «Амортизация основных средств и нематериальных активов» отражаются суммы амортизационных отчислений по основным средствам и нематериальным активам, используемым в предпринимательской деятельности в оздоровительный период, произведенных в установленном законодательством порядке.</w:t>
      </w:r>
    </w:p>
    <w:p w:rsidR="00157B8C" w:rsidRPr="00157B8C" w:rsidRDefault="00157B8C" w:rsidP="00157B8C">
      <w:pPr>
        <w:pStyle w:val="justify"/>
        <w:spacing w:line="280" w:lineRule="atLeast"/>
      </w:pPr>
      <w:r w:rsidRPr="00157B8C">
        <w:lastRenderedPageBreak/>
        <w:t xml:space="preserve">Амортизационные отчисления основных средств и нематериальных активов определяются согласно </w:t>
      </w:r>
      <w:r w:rsidRPr="00157B8C">
        <w:rPr>
          <w:rFonts w:eastAsiaTheme="majorEastAsia"/>
        </w:rPr>
        <w:t>Инструкции</w:t>
      </w:r>
      <w:r w:rsidRPr="00157B8C">
        <w:t xml:space="preserve"> о порядке начисления амортизации основных средств и нематериальных активов, утвержденной постановлением Министерства экономики Республики Беларусь, Министерства финансов Республики Беларусь, Министерства статистики и анализа Республики Беларусь и Министерства архитектуры и строительства Республики Беларусь от 23 ноября 2001 г. № 187/110/96/18 (Национальный реестр правовых актов Республики Беларусь, 2001 г., № 118, 8/7522), и Временному республиканскому </w:t>
      </w:r>
      <w:r w:rsidRPr="00157B8C">
        <w:rPr>
          <w:rFonts w:eastAsiaTheme="majorEastAsia"/>
        </w:rPr>
        <w:t>классификатору</w:t>
      </w:r>
      <w:r w:rsidRPr="00157B8C">
        <w:t xml:space="preserve"> амортизируемых основных средств и нормативным срокам их службы, утвержденным постановлением Министерства экономики Республики Беларусь от 21 ноября 2001 г. № 186 (Национальный реестр правовых актов Республики Беларусь, 2001 г., № 114, 8/7489).</w:t>
      </w:r>
    </w:p>
    <w:p w:rsidR="00157B8C" w:rsidRPr="00157B8C" w:rsidRDefault="00157B8C" w:rsidP="00157B8C">
      <w:pPr>
        <w:pStyle w:val="justify"/>
        <w:spacing w:line="280" w:lineRule="atLeast"/>
      </w:pPr>
      <w:r w:rsidRPr="00157B8C">
        <w:t>Исчисление амортизации по основным средствам прекращается после истечения нормативного срока их службы при условии полного перенесения всей их стоимости на издержки производства и обращения.</w:t>
      </w:r>
    </w:p>
    <w:p w:rsidR="00157B8C" w:rsidRPr="00157B8C" w:rsidRDefault="00157B8C" w:rsidP="00157B8C">
      <w:pPr>
        <w:pStyle w:val="justify"/>
        <w:spacing w:line="280" w:lineRule="atLeast"/>
      </w:pPr>
      <w:r w:rsidRPr="00157B8C">
        <w:t>6.8. В статье «Потеря стоимости средств в обороте» отражаются расходы по малоценному и быстроизнашивающемуся инвентарю.</w:t>
      </w:r>
    </w:p>
    <w:p w:rsidR="00157B8C" w:rsidRPr="00157B8C" w:rsidRDefault="00157B8C" w:rsidP="00157B8C">
      <w:pPr>
        <w:pStyle w:val="justify"/>
        <w:spacing w:line="280" w:lineRule="atLeast"/>
      </w:pPr>
      <w:r w:rsidRPr="00157B8C">
        <w:rPr>
          <w:rFonts w:eastAsiaTheme="majorEastAsia"/>
        </w:rPr>
        <w:t>Постановлением</w:t>
      </w:r>
      <w:r w:rsidRPr="00157B8C">
        <w:t xml:space="preserve"> Министерства финансов Республики Беларусь от 23 марта 2004 г. № 41 «Об установлении лимита отнесения имущества к отдельным предметам в составе оборотных средств» (Национальный реестр правовых актов Республики Беларусь, 2004 г., № 70, 8/10863) установлен лимит стоимости имущества, являющегося средствами труда и относящегося к отдельным предметам в составе оборотных средств в соответствии с </w:t>
      </w:r>
      <w:r w:rsidRPr="00157B8C">
        <w:rPr>
          <w:rFonts w:eastAsiaTheme="majorEastAsia"/>
        </w:rPr>
        <w:t>подпунктом 13.7</w:t>
      </w:r>
      <w:r w:rsidRPr="00157B8C">
        <w:t xml:space="preserve"> пункта 13 Инструкции о порядке начисления амортизации основных средств и нематериальных активов, в пределах 30 базовых величин за единицу (кроме ковров и ковровых изделий, лимит по которым устанавливается в пределах 10 базовых величин за единицу). При этом для сравнения с лимитом стоимость предметов принимается без налога на добавленную стоимость (кроме предметов, приобретаемых организациями, финансируемыми из бюджета, за счет средств соответствующих бюджетов, по которым стоимость предметов определяется с учетом налога на добавленную стоимость).</w:t>
      </w:r>
    </w:p>
    <w:p w:rsidR="00157B8C" w:rsidRPr="00157B8C" w:rsidRDefault="00157B8C" w:rsidP="00157B8C">
      <w:pPr>
        <w:pStyle w:val="justify"/>
        <w:spacing w:line="280" w:lineRule="atLeast"/>
      </w:pPr>
      <w:r w:rsidRPr="00157B8C">
        <w:t>Стоимость предметов, указанных в подпункте 13.7 пункта 13 Инструкции о порядке начисления амортизации основных средств и нематериальных активов, учитывается на соответствующих субсчетах счета 10 «Материалы» и переносится на затраты по производству и реализации продукции, работ, услуг, расходы на реализацию товаров в следующем порядке:</w:t>
      </w:r>
    </w:p>
    <w:p w:rsidR="00157B8C" w:rsidRPr="00157B8C" w:rsidRDefault="00157B8C" w:rsidP="00157B8C">
      <w:pPr>
        <w:pStyle w:val="justify"/>
        <w:spacing w:line="280" w:lineRule="atLeast"/>
      </w:pPr>
      <w:r w:rsidRPr="00157B8C">
        <w:t>по предметам, по которым установлены сроки службы (спецодежда, спецобувь и др.), погашается ежемесячно исходя из сроков их службы;</w:t>
      </w:r>
    </w:p>
    <w:p w:rsidR="00157B8C" w:rsidRPr="00157B8C" w:rsidRDefault="00157B8C" w:rsidP="00157B8C">
      <w:pPr>
        <w:pStyle w:val="justify"/>
        <w:spacing w:line="280" w:lineRule="atLeast"/>
      </w:pPr>
      <w:r w:rsidRPr="00157B8C">
        <w:t>по остальным предметам - в соответствии с учетной политикой организации:</w:t>
      </w:r>
    </w:p>
    <w:p w:rsidR="00157B8C" w:rsidRPr="00157B8C" w:rsidRDefault="00157B8C" w:rsidP="00157B8C">
      <w:pPr>
        <w:pStyle w:val="justify"/>
        <w:spacing w:line="280" w:lineRule="atLeast"/>
      </w:pPr>
      <w:r w:rsidRPr="00157B8C">
        <w:t>в размере 50 процентов стоимости предметов - при передаче их со складов в эксплуатацию и 50 процентов стоимости (за вычетом стоимости этих предметов по цене возможного использования) - при выбытии их за непригодностью; или в размере 100 процентов - при выбытии их за непригодностью;</w:t>
      </w:r>
    </w:p>
    <w:p w:rsidR="00157B8C" w:rsidRPr="00157B8C" w:rsidRDefault="00157B8C" w:rsidP="00157B8C">
      <w:pPr>
        <w:pStyle w:val="justify"/>
        <w:spacing w:line="280" w:lineRule="atLeast"/>
      </w:pPr>
      <w:r w:rsidRPr="00157B8C">
        <w:t>по предметам до одной базовой величины списывается одновременно на затраты по производству и реализации продукции, работ, услуг, расходы на реализацию товаров по мере передачи их в эксплуатацию. Материально ответственными лицами учет указанных предметов осуществляется в количественном выражении.</w:t>
      </w:r>
    </w:p>
    <w:p w:rsidR="00157B8C" w:rsidRPr="00157B8C" w:rsidRDefault="00157B8C" w:rsidP="00157B8C">
      <w:pPr>
        <w:pStyle w:val="justify"/>
        <w:spacing w:line="280" w:lineRule="atLeast"/>
      </w:pPr>
      <w:r w:rsidRPr="00157B8C">
        <w:t>6.9. В статью «Прочие расходы» включаются:</w:t>
      </w:r>
    </w:p>
    <w:p w:rsidR="00157B8C" w:rsidRPr="00157B8C" w:rsidRDefault="00157B8C" w:rsidP="00157B8C">
      <w:pPr>
        <w:pStyle w:val="justify"/>
        <w:spacing w:line="280" w:lineRule="atLeast"/>
      </w:pPr>
      <w:r w:rsidRPr="00157B8C">
        <w:t>налоги, сборы (пошлины), платежи и другие обязательные отчисления в государственные целевые бюджетные и внебюджетные фонды, включаемые в соответствии с законодательством в себестоимость продукции, работ (услуг);</w:t>
      </w:r>
    </w:p>
    <w:p w:rsidR="00157B8C" w:rsidRPr="00157B8C" w:rsidRDefault="00157B8C" w:rsidP="00157B8C">
      <w:pPr>
        <w:pStyle w:val="justify"/>
        <w:spacing w:line="280" w:lineRule="atLeast"/>
      </w:pPr>
      <w:r w:rsidRPr="00157B8C">
        <w:t>затраты по оплате услуг связи, включая почтовые, телефонные услуги;</w:t>
      </w:r>
    </w:p>
    <w:p w:rsidR="00157B8C" w:rsidRPr="00157B8C" w:rsidRDefault="00157B8C" w:rsidP="00157B8C">
      <w:pPr>
        <w:pStyle w:val="justify"/>
        <w:spacing w:line="280" w:lineRule="atLeast"/>
      </w:pPr>
      <w:r w:rsidRPr="00157B8C">
        <w:t>арендная плата;</w:t>
      </w:r>
    </w:p>
    <w:p w:rsidR="00157B8C" w:rsidRPr="00157B8C" w:rsidRDefault="00157B8C" w:rsidP="00157B8C">
      <w:pPr>
        <w:pStyle w:val="justify"/>
        <w:spacing w:line="280" w:lineRule="atLeast"/>
      </w:pPr>
      <w:r w:rsidRPr="00157B8C">
        <w:t>оплата услуг сторонних организаций за пожарную и сторожевую охрану, в том числе расходы по противопожарному обслуживанию аварийно-спасательными службами;</w:t>
      </w:r>
    </w:p>
    <w:p w:rsidR="00157B8C" w:rsidRPr="00157B8C" w:rsidRDefault="00157B8C" w:rsidP="00157B8C">
      <w:pPr>
        <w:pStyle w:val="justify"/>
        <w:spacing w:line="280" w:lineRule="atLeast"/>
      </w:pPr>
      <w:r w:rsidRPr="00157B8C">
        <w:t>страховые взносы по обязательному страхованию от несчастных случаев на производстве и профессиональных заболеваний;</w:t>
      </w:r>
    </w:p>
    <w:p w:rsidR="00157B8C" w:rsidRPr="00157B8C" w:rsidRDefault="00157B8C" w:rsidP="00157B8C">
      <w:pPr>
        <w:pStyle w:val="justify"/>
        <w:spacing w:line="280" w:lineRule="atLeast"/>
      </w:pPr>
      <w:r w:rsidRPr="00157B8C">
        <w:t>затраты по оплате услуг банков, связанных с обслуживанием лагеря;</w:t>
      </w:r>
    </w:p>
    <w:p w:rsidR="00157B8C" w:rsidRPr="00157B8C" w:rsidRDefault="00157B8C" w:rsidP="00157B8C">
      <w:pPr>
        <w:pStyle w:val="justify"/>
        <w:spacing w:line="280" w:lineRule="atLeast"/>
      </w:pPr>
      <w:r w:rsidRPr="00157B8C">
        <w:t>затраты по печатанию бланков путевок, канцелярские расходы;</w:t>
      </w:r>
    </w:p>
    <w:p w:rsidR="00157B8C" w:rsidRPr="00157B8C" w:rsidRDefault="00157B8C" w:rsidP="00157B8C">
      <w:pPr>
        <w:pStyle w:val="justify"/>
        <w:spacing w:line="280" w:lineRule="atLeast"/>
      </w:pPr>
      <w:r w:rsidRPr="00157B8C">
        <w:t>командировочные расходы;</w:t>
      </w:r>
    </w:p>
    <w:p w:rsidR="00157B8C" w:rsidRPr="00157B8C" w:rsidRDefault="00157B8C" w:rsidP="00157B8C">
      <w:pPr>
        <w:pStyle w:val="justify"/>
        <w:spacing w:line="280" w:lineRule="atLeast"/>
      </w:pPr>
      <w:r w:rsidRPr="00157B8C">
        <w:lastRenderedPageBreak/>
        <w:t>торговые надбавки и наценки предприятий общественного питания и НДС, приходящийся на торговые надбавки;</w:t>
      </w:r>
    </w:p>
    <w:p w:rsidR="00157B8C" w:rsidRPr="00157B8C" w:rsidRDefault="00157B8C" w:rsidP="00157B8C">
      <w:pPr>
        <w:pStyle w:val="justify"/>
        <w:spacing w:line="280" w:lineRule="atLeast"/>
      </w:pPr>
      <w:r w:rsidRPr="00157B8C">
        <w:t>расходы на приобретение бутилированной воды;</w:t>
      </w:r>
    </w:p>
    <w:p w:rsidR="00157B8C" w:rsidRPr="00157B8C" w:rsidRDefault="00157B8C" w:rsidP="00157B8C">
      <w:pPr>
        <w:pStyle w:val="justify"/>
        <w:spacing w:line="280" w:lineRule="atLeast"/>
      </w:pPr>
      <w:r w:rsidRPr="00157B8C">
        <w:t>содержание и ремонт пляжей, прудов, водоемов, водозаборов;</w:t>
      </w:r>
    </w:p>
    <w:p w:rsidR="00157B8C" w:rsidRPr="00157B8C" w:rsidRDefault="00157B8C" w:rsidP="00157B8C">
      <w:pPr>
        <w:pStyle w:val="justify"/>
        <w:spacing w:line="280" w:lineRule="atLeast"/>
      </w:pPr>
      <w:r w:rsidRPr="00157B8C">
        <w:t>благоустройство оздоровительной организации: уход за зелеными и цветочными насаждениями, устройство клумб, цветников, парковых и садовых дорожек, ремонт скамеек, беседок, оборудование игровых детских площадок, оформление стендов, панно и других форм наглядной агитации и пр.</w:t>
      </w:r>
    </w:p>
    <w:p w:rsidR="00157B8C" w:rsidRPr="00157B8C" w:rsidRDefault="00157B8C" w:rsidP="00157B8C">
      <w:pPr>
        <w:pStyle w:val="justify"/>
        <w:spacing w:line="280" w:lineRule="atLeast"/>
      </w:pPr>
      <w:r w:rsidRPr="00157B8C">
        <w:t>7. Расчет стоимости одного койко-дня осуществляется исходя из проектного количества мест в лагере согласно технической документации.</w:t>
      </w:r>
    </w:p>
    <w:p w:rsidR="00AA517A" w:rsidRDefault="00AA517A"/>
    <w:sectPr w:rsidR="00AA517A" w:rsidSect="002F6D9D">
      <w:pgSz w:w="12240" w:h="15840"/>
      <w:pgMar w:top="567" w:right="510" w:bottom="567" w:left="851" w:header="720" w:footer="720" w:gutter="0"/>
      <w:cols w:space="708"/>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rawingGridVerticalSpacing w:val="136"/>
  <w:displayHorizontalDrawingGridEvery w:val="0"/>
  <w:displayVerticalDrawingGridEvery w:val="2"/>
  <w:characterSpacingControl w:val="doNotCompress"/>
  <w:compat/>
  <w:rsids>
    <w:rsidRoot w:val="00157B8C"/>
    <w:rsid w:val="000218F9"/>
    <w:rsid w:val="000420BD"/>
    <w:rsid w:val="00154D45"/>
    <w:rsid w:val="00157B8C"/>
    <w:rsid w:val="00217906"/>
    <w:rsid w:val="002A4757"/>
    <w:rsid w:val="002C0A12"/>
    <w:rsid w:val="002F6D9D"/>
    <w:rsid w:val="00415D7F"/>
    <w:rsid w:val="0042414C"/>
    <w:rsid w:val="00480BF1"/>
    <w:rsid w:val="005113D2"/>
    <w:rsid w:val="00605378"/>
    <w:rsid w:val="00865B5B"/>
    <w:rsid w:val="00897C88"/>
    <w:rsid w:val="008D1FE3"/>
    <w:rsid w:val="0099163D"/>
    <w:rsid w:val="00A808C4"/>
    <w:rsid w:val="00AA517A"/>
    <w:rsid w:val="00B3298B"/>
    <w:rsid w:val="00B6338B"/>
    <w:rsid w:val="00BC14CB"/>
    <w:rsid w:val="00C2390E"/>
    <w:rsid w:val="00CA2435"/>
    <w:rsid w:val="00DC3B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D7F"/>
    <w:rPr>
      <w:sz w:val="24"/>
      <w:szCs w:val="24"/>
    </w:rPr>
  </w:style>
  <w:style w:type="paragraph" w:styleId="1">
    <w:name w:val="heading 1"/>
    <w:basedOn w:val="a"/>
    <w:next w:val="a"/>
    <w:link w:val="10"/>
    <w:qFormat/>
    <w:rsid w:val="00865B5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865B5B"/>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0218F9"/>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0218F9"/>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0218F9"/>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0218F9"/>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0218F9"/>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0218F9"/>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0218F9"/>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18F9"/>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0218F9"/>
    <w:rPr>
      <w:rFonts w:asciiTheme="majorHAnsi" w:eastAsiaTheme="majorEastAsia" w:hAnsiTheme="majorHAnsi" w:cstheme="majorBidi"/>
      <w:b/>
      <w:bCs/>
      <w:i/>
      <w:iCs/>
      <w:sz w:val="28"/>
      <w:szCs w:val="28"/>
    </w:rPr>
  </w:style>
  <w:style w:type="character" w:customStyle="1" w:styleId="40">
    <w:name w:val="Заголовок 4 Знак"/>
    <w:basedOn w:val="a0"/>
    <w:link w:val="4"/>
    <w:semiHidden/>
    <w:rsid w:val="000218F9"/>
    <w:rPr>
      <w:rFonts w:asciiTheme="minorHAnsi" w:eastAsiaTheme="minorEastAsia" w:hAnsiTheme="minorHAnsi" w:cstheme="minorBidi"/>
      <w:b/>
      <w:bCs/>
      <w:sz w:val="28"/>
      <w:szCs w:val="28"/>
    </w:rPr>
  </w:style>
  <w:style w:type="character" w:customStyle="1" w:styleId="60">
    <w:name w:val="Заголовок 6 Знак"/>
    <w:basedOn w:val="a0"/>
    <w:link w:val="6"/>
    <w:semiHidden/>
    <w:rsid w:val="000218F9"/>
    <w:rPr>
      <w:rFonts w:asciiTheme="minorHAnsi" w:eastAsiaTheme="minorEastAsia" w:hAnsiTheme="minorHAnsi" w:cstheme="minorBidi"/>
      <w:b/>
      <w:bCs/>
      <w:sz w:val="22"/>
      <w:szCs w:val="22"/>
    </w:rPr>
  </w:style>
  <w:style w:type="paragraph" w:styleId="a3">
    <w:name w:val="Title"/>
    <w:basedOn w:val="a"/>
    <w:next w:val="a"/>
    <w:link w:val="a4"/>
    <w:qFormat/>
    <w:rsid w:val="000218F9"/>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0218F9"/>
    <w:rPr>
      <w:rFonts w:asciiTheme="majorHAnsi" w:eastAsiaTheme="majorEastAsia" w:hAnsiTheme="majorHAnsi" w:cstheme="majorBidi"/>
      <w:b/>
      <w:bCs/>
      <w:kern w:val="28"/>
      <w:sz w:val="32"/>
      <w:szCs w:val="32"/>
    </w:rPr>
  </w:style>
  <w:style w:type="character" w:customStyle="1" w:styleId="30">
    <w:name w:val="Заголовок 3 Знак"/>
    <w:basedOn w:val="a0"/>
    <w:link w:val="3"/>
    <w:semiHidden/>
    <w:rsid w:val="000218F9"/>
    <w:rPr>
      <w:rFonts w:asciiTheme="majorHAnsi" w:eastAsiaTheme="majorEastAsia" w:hAnsiTheme="majorHAnsi" w:cstheme="majorBidi"/>
      <w:b/>
      <w:bCs/>
      <w:sz w:val="26"/>
      <w:szCs w:val="26"/>
    </w:rPr>
  </w:style>
  <w:style w:type="character" w:customStyle="1" w:styleId="50">
    <w:name w:val="Заголовок 5 Знак"/>
    <w:basedOn w:val="a0"/>
    <w:link w:val="5"/>
    <w:semiHidden/>
    <w:rsid w:val="000218F9"/>
    <w:rPr>
      <w:rFonts w:asciiTheme="minorHAnsi" w:eastAsiaTheme="minorEastAsia" w:hAnsiTheme="minorHAnsi" w:cstheme="minorBidi"/>
      <w:b/>
      <w:bCs/>
      <w:i/>
      <w:iCs/>
      <w:sz w:val="26"/>
      <w:szCs w:val="26"/>
    </w:rPr>
  </w:style>
  <w:style w:type="paragraph" w:styleId="a5">
    <w:name w:val="No Spacing"/>
    <w:uiPriority w:val="1"/>
    <w:qFormat/>
    <w:rsid w:val="000218F9"/>
    <w:rPr>
      <w:sz w:val="24"/>
      <w:szCs w:val="24"/>
    </w:rPr>
  </w:style>
  <w:style w:type="character" w:customStyle="1" w:styleId="70">
    <w:name w:val="Заголовок 7 Знак"/>
    <w:basedOn w:val="a0"/>
    <w:link w:val="7"/>
    <w:semiHidden/>
    <w:rsid w:val="000218F9"/>
    <w:rPr>
      <w:rFonts w:asciiTheme="minorHAnsi" w:eastAsiaTheme="minorEastAsia" w:hAnsiTheme="minorHAnsi" w:cstheme="minorBidi"/>
      <w:sz w:val="24"/>
      <w:szCs w:val="24"/>
    </w:rPr>
  </w:style>
  <w:style w:type="character" w:customStyle="1" w:styleId="80">
    <w:name w:val="Заголовок 8 Знак"/>
    <w:basedOn w:val="a0"/>
    <w:link w:val="8"/>
    <w:semiHidden/>
    <w:rsid w:val="000218F9"/>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0218F9"/>
    <w:rPr>
      <w:rFonts w:asciiTheme="majorHAnsi" w:eastAsiaTheme="majorEastAsia" w:hAnsiTheme="majorHAnsi" w:cstheme="majorBidi"/>
      <w:sz w:val="22"/>
      <w:szCs w:val="22"/>
    </w:rPr>
  </w:style>
  <w:style w:type="paragraph" w:styleId="a6">
    <w:name w:val="caption"/>
    <w:basedOn w:val="a"/>
    <w:next w:val="a"/>
    <w:semiHidden/>
    <w:unhideWhenUsed/>
    <w:qFormat/>
    <w:rsid w:val="000218F9"/>
    <w:rPr>
      <w:b/>
      <w:bCs/>
      <w:sz w:val="20"/>
      <w:szCs w:val="20"/>
    </w:rPr>
  </w:style>
  <w:style w:type="paragraph" w:styleId="a7">
    <w:name w:val="Subtitle"/>
    <w:basedOn w:val="a"/>
    <w:next w:val="a"/>
    <w:link w:val="a8"/>
    <w:qFormat/>
    <w:rsid w:val="000218F9"/>
    <w:pPr>
      <w:spacing w:after="60"/>
      <w:jc w:val="center"/>
      <w:outlineLvl w:val="1"/>
    </w:pPr>
    <w:rPr>
      <w:rFonts w:asciiTheme="majorHAnsi" w:eastAsiaTheme="majorEastAsia" w:hAnsiTheme="majorHAnsi" w:cstheme="majorBidi"/>
    </w:rPr>
  </w:style>
  <w:style w:type="character" w:customStyle="1" w:styleId="a8">
    <w:name w:val="Подзаголовок Знак"/>
    <w:basedOn w:val="a0"/>
    <w:link w:val="a7"/>
    <w:rsid w:val="000218F9"/>
    <w:rPr>
      <w:rFonts w:asciiTheme="majorHAnsi" w:eastAsiaTheme="majorEastAsia" w:hAnsiTheme="majorHAnsi" w:cstheme="majorBidi"/>
      <w:sz w:val="24"/>
      <w:szCs w:val="24"/>
    </w:rPr>
  </w:style>
  <w:style w:type="character" w:styleId="a9">
    <w:name w:val="Strong"/>
    <w:basedOn w:val="a0"/>
    <w:qFormat/>
    <w:rsid w:val="000218F9"/>
    <w:rPr>
      <w:b/>
      <w:bCs/>
    </w:rPr>
  </w:style>
  <w:style w:type="character" w:styleId="aa">
    <w:name w:val="Emphasis"/>
    <w:basedOn w:val="a0"/>
    <w:qFormat/>
    <w:rsid w:val="000218F9"/>
    <w:rPr>
      <w:i/>
      <w:iCs/>
    </w:rPr>
  </w:style>
  <w:style w:type="paragraph" w:styleId="ab">
    <w:name w:val="List Paragraph"/>
    <w:basedOn w:val="a"/>
    <w:uiPriority w:val="34"/>
    <w:qFormat/>
    <w:rsid w:val="000218F9"/>
    <w:pPr>
      <w:ind w:left="708"/>
    </w:pPr>
  </w:style>
  <w:style w:type="paragraph" w:styleId="21">
    <w:name w:val="Quote"/>
    <w:basedOn w:val="a"/>
    <w:next w:val="a"/>
    <w:link w:val="22"/>
    <w:uiPriority w:val="29"/>
    <w:qFormat/>
    <w:rsid w:val="000218F9"/>
    <w:rPr>
      <w:i/>
      <w:iCs/>
      <w:color w:val="000000" w:themeColor="text1"/>
    </w:rPr>
  </w:style>
  <w:style w:type="character" w:customStyle="1" w:styleId="22">
    <w:name w:val="Цитата 2 Знак"/>
    <w:basedOn w:val="a0"/>
    <w:link w:val="21"/>
    <w:uiPriority w:val="29"/>
    <w:rsid w:val="000218F9"/>
    <w:rPr>
      <w:i/>
      <w:iCs/>
      <w:color w:val="000000" w:themeColor="text1"/>
      <w:sz w:val="24"/>
      <w:szCs w:val="24"/>
    </w:rPr>
  </w:style>
  <w:style w:type="paragraph" w:styleId="ac">
    <w:name w:val="Intense Quote"/>
    <w:basedOn w:val="a"/>
    <w:next w:val="a"/>
    <w:link w:val="ad"/>
    <w:uiPriority w:val="30"/>
    <w:qFormat/>
    <w:rsid w:val="000218F9"/>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0218F9"/>
    <w:rPr>
      <w:b/>
      <w:bCs/>
      <w:i/>
      <w:iCs/>
      <w:color w:val="4F81BD" w:themeColor="accent1"/>
      <w:sz w:val="24"/>
      <w:szCs w:val="24"/>
    </w:rPr>
  </w:style>
  <w:style w:type="character" w:styleId="ae">
    <w:name w:val="Subtle Emphasis"/>
    <w:basedOn w:val="a0"/>
    <w:uiPriority w:val="19"/>
    <w:qFormat/>
    <w:rsid w:val="000218F9"/>
    <w:rPr>
      <w:i/>
      <w:iCs/>
      <w:color w:val="808080" w:themeColor="text1" w:themeTint="7F"/>
    </w:rPr>
  </w:style>
  <w:style w:type="character" w:styleId="af">
    <w:name w:val="Intense Emphasis"/>
    <w:basedOn w:val="a0"/>
    <w:uiPriority w:val="21"/>
    <w:qFormat/>
    <w:rsid w:val="000218F9"/>
    <w:rPr>
      <w:b/>
      <w:bCs/>
      <w:i/>
      <w:iCs/>
      <w:color w:val="4F81BD" w:themeColor="accent1"/>
    </w:rPr>
  </w:style>
  <w:style w:type="character" w:styleId="af0">
    <w:name w:val="Subtle Reference"/>
    <w:basedOn w:val="a0"/>
    <w:uiPriority w:val="31"/>
    <w:qFormat/>
    <w:rsid w:val="000218F9"/>
    <w:rPr>
      <w:smallCaps/>
      <w:color w:val="C0504D" w:themeColor="accent2"/>
      <w:u w:val="single"/>
    </w:rPr>
  </w:style>
  <w:style w:type="character" w:styleId="af1">
    <w:name w:val="Intense Reference"/>
    <w:basedOn w:val="a0"/>
    <w:uiPriority w:val="32"/>
    <w:qFormat/>
    <w:rsid w:val="000218F9"/>
    <w:rPr>
      <w:b/>
      <w:bCs/>
      <w:smallCaps/>
      <w:color w:val="C0504D" w:themeColor="accent2"/>
      <w:spacing w:val="5"/>
      <w:u w:val="single"/>
    </w:rPr>
  </w:style>
  <w:style w:type="character" w:styleId="af2">
    <w:name w:val="Book Title"/>
    <w:basedOn w:val="a0"/>
    <w:uiPriority w:val="33"/>
    <w:qFormat/>
    <w:rsid w:val="000218F9"/>
    <w:rPr>
      <w:b/>
      <w:bCs/>
      <w:smallCaps/>
      <w:spacing w:val="5"/>
    </w:rPr>
  </w:style>
  <w:style w:type="paragraph" w:styleId="af3">
    <w:name w:val="TOC Heading"/>
    <w:basedOn w:val="1"/>
    <w:next w:val="a"/>
    <w:uiPriority w:val="39"/>
    <w:semiHidden/>
    <w:unhideWhenUsed/>
    <w:qFormat/>
    <w:rsid w:val="000218F9"/>
    <w:pPr>
      <w:outlineLvl w:val="9"/>
    </w:pPr>
  </w:style>
  <w:style w:type="character" w:styleId="af4">
    <w:name w:val="Hyperlink"/>
    <w:basedOn w:val="a0"/>
    <w:uiPriority w:val="99"/>
    <w:semiHidden/>
    <w:unhideWhenUsed/>
    <w:rsid w:val="00157B8C"/>
    <w:rPr>
      <w:color w:val="0038C8"/>
      <w:u w:val="single"/>
    </w:rPr>
  </w:style>
  <w:style w:type="paragraph" w:styleId="af5">
    <w:name w:val="Normal (Web)"/>
    <w:basedOn w:val="a"/>
    <w:uiPriority w:val="99"/>
    <w:semiHidden/>
    <w:unhideWhenUsed/>
    <w:rsid w:val="00157B8C"/>
    <w:pPr>
      <w:ind w:firstLine="567"/>
    </w:pPr>
  </w:style>
  <w:style w:type="paragraph" w:customStyle="1" w:styleId="justify">
    <w:name w:val="justify"/>
    <w:basedOn w:val="a"/>
    <w:rsid w:val="00157B8C"/>
    <w:pPr>
      <w:ind w:firstLine="567"/>
      <w:jc w:val="both"/>
    </w:pPr>
  </w:style>
  <w:style w:type="paragraph" w:customStyle="1" w:styleId="a00">
    <w:name w:val="a0"/>
    <w:basedOn w:val="a"/>
    <w:rsid w:val="00157B8C"/>
  </w:style>
  <w:style w:type="paragraph" w:customStyle="1" w:styleId="y3">
    <w:name w:val="y3"/>
    <w:basedOn w:val="a"/>
    <w:rsid w:val="00157B8C"/>
    <w:pPr>
      <w:spacing w:before="200" w:after="200"/>
      <w:jc w:val="center"/>
    </w:pPr>
  </w:style>
  <w:style w:type="paragraph" w:customStyle="1" w:styleId="nameleft">
    <w:name w:val="name_left"/>
    <w:basedOn w:val="a"/>
    <w:rsid w:val="00157B8C"/>
    <w:rPr>
      <w:b/>
      <w:bCs/>
      <w:color w:val="000088"/>
    </w:rPr>
  </w:style>
</w:styles>
</file>

<file path=word/webSettings.xml><?xml version="1.0" encoding="utf-8"?>
<w:webSettings xmlns:r="http://schemas.openxmlformats.org/officeDocument/2006/relationships" xmlns:w="http://schemas.openxmlformats.org/wordprocessingml/2006/main">
  <w:divs>
    <w:div w:id="108206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2245</Words>
  <Characters>12801</Characters>
  <Application>Microsoft Office Word</Application>
  <DocSecurity>0</DocSecurity>
  <Lines>106</Lines>
  <Paragraphs>30</Paragraphs>
  <ScaleCrop>false</ScaleCrop>
  <Company>Grizli777</Company>
  <LinksUpToDate>false</LinksUpToDate>
  <CharactersWithSpaces>15016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2</cp:revision>
  <dcterms:created xsi:type="dcterms:W3CDTF">2014-04-18T09:28:00Z</dcterms:created>
  <dcterms:modified xsi:type="dcterms:W3CDTF">2014-04-18T09:28:00Z</dcterms:modified>
</cp:coreProperties>
</file>