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ПРИКАЗ МИНИСТЕРСТВА ЗДРАВООХРАНЕНИЯ РЕСПУБЛИКИ БЕЛАРУСЬ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31 мая 2012 г. N 669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О СОВЕРШЕНСТВОВАНИИ ОРГАНИЗАЦИИ ОКАЗАНИЯ МЕДИЦИНСКОЙ ПОМОЩИ ДЕТЯМ В УЧРЕЖДЕНИЯХ ОБРАЗОВАНИЯ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На основании Положения о Министерстве здравоохранения Республики Беларусь, утвержденного постановлением Совета Министров Республики Беларусь от 28.10.2011 N 1446 "О некоторых вопросах Министерства здравоохранения и мерах по реализации Указа Президента Республики Беларусь от 11 августа 2011 г. N 360", и в целях совершенствования организации оказания медицинской помощи детям в учреждениях образования Республики Беларусь ПРИКАЗЫВАЮ: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1. Утвердить Инструкцию об организации оказания медицинской помощи детям в учреждениях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2. Считать утратившей силу Инструкцию об организации работы педиатрического отделения по медицинскому обслуживанию детей в учреждениях образования, утвержденную приказом Министерства здравоохранения от 31 декабря 2004 г. N 295 "Об утверждении инструкций об организации работы структурных под</w:t>
      </w:r>
      <w:bookmarkStart w:id="0" w:name="_GoBack"/>
      <w:bookmarkEnd w:id="0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разделений детской поликлиники (детских отделений в составе поликлиник для взрослого населения)".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3. Начальникам управлений здравоохранения облисполкомов, председателю комитета по здравоохранению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Мингорисполкома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организовать работу по оказанию медицинской помощи детям в учреждениях образования в соответствии с настоящим приказом.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4. Контроль за исполнением настоящего приказа возложить на Первого заместителя Министра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Пиневича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Д.Л.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Министр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В.И.Жарко</w:t>
      </w:r>
      <w:proofErr w:type="spellEnd"/>
    </w:p>
    <w:p w:rsidR="00051294" w:rsidRPr="00051294" w:rsidRDefault="00051294" w:rsidP="00051294">
      <w:pPr>
        <w:shd w:val="clear" w:color="auto" w:fill="E8E8E8"/>
        <w:spacing w:after="0" w:line="240" w:lineRule="auto"/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</w:pPr>
      <w:r w:rsidRPr="00051294"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УТВЕРЖДЕНО</w:t>
      </w:r>
    </w:p>
    <w:p w:rsidR="00051294" w:rsidRPr="00051294" w:rsidRDefault="00051294" w:rsidP="00051294">
      <w:pPr>
        <w:shd w:val="clear" w:color="auto" w:fill="E8E8E8"/>
        <w:spacing w:after="0" w:line="240" w:lineRule="auto"/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</w:pPr>
      <w:r w:rsidRPr="00051294"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Приказ Министерства</w:t>
      </w:r>
    </w:p>
    <w:p w:rsidR="00051294" w:rsidRPr="00051294" w:rsidRDefault="00051294" w:rsidP="00051294">
      <w:pPr>
        <w:shd w:val="clear" w:color="auto" w:fill="E8E8E8"/>
        <w:spacing w:after="0" w:line="240" w:lineRule="auto"/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</w:pPr>
      <w:r w:rsidRPr="00051294"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здравоохранения</w:t>
      </w:r>
    </w:p>
    <w:p w:rsidR="00051294" w:rsidRPr="00051294" w:rsidRDefault="00051294" w:rsidP="00051294">
      <w:pPr>
        <w:shd w:val="clear" w:color="auto" w:fill="E8E8E8"/>
        <w:spacing w:after="0" w:line="240" w:lineRule="auto"/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</w:pPr>
      <w:r w:rsidRPr="00051294"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Республики Беларусь</w:t>
      </w:r>
    </w:p>
    <w:p w:rsidR="00051294" w:rsidRPr="00051294" w:rsidRDefault="00051294" w:rsidP="00051294">
      <w:pPr>
        <w:shd w:val="clear" w:color="auto" w:fill="E8E8E8"/>
        <w:spacing w:after="0" w:line="240" w:lineRule="auto"/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</w:pPr>
      <w:r w:rsidRPr="00051294">
        <w:rPr>
          <w:rFonts w:ascii="Courier New" w:eastAsia="Times New Roman" w:hAnsi="Courier New" w:cs="Courier New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31.05.2012 N 669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ИНСТРУКЦИЯ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ОБ ОРГАНИЗАЦИИ ОКАЗАНИЯ МЕДИЦИНСКОЙ ПОМОЩИ ДЕТЯМ В УЧРЕЖДЕНИЯХ ОБРАЗОВАНИЯ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ОБЩИЕ ПОЛОЖЕНИЯ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1. Инструкция об организации оказания медицинской помощи детям в учреждениях образования (далее - Инструкция) разработана во исполнение Указа Президента Республики Беларусь от 5 января 2012 г. N 10 "О совершенствовании порядка оказания медицинской помощи обучающимся" и в целях рационального использования кадрового потенциала организаций здравоохранения, а также совершенствования оказания медицинской помощи детям в учреждениях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2. Ответственность за организацию оказания медицинской помощи детям в учреждениях образования несет руководитель территориальной организации здравоохранения.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3. Количество должностей медицинских работников выделяется в соответствии с примерными штатными нормативами, утвержденными Министерством здравоохранения Республики Беларусь (далее Министерство).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4. Оказание медицинской помощи детям в учреждениях образования осуществляется медицинскими работниками территориальных организаций здравоохранения в составе: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педиатрических отделений детских поликлиник (взрослых поликлиник);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педиатрических отделений по медицинскому обеспечению детей в учреждениях образования детских поликлиник (взрослых поликлиник);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педиатрических отделений или других структурных подразделений центральных районных (городских) больниц (поликлиник).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5. Заведующие указанными выше структурными подразделениями (врач-педиатр районный, заместитель руководителя территориальной организации здравоохранения) в пределах своих функциональных обязанностей обеспечивают организацию оказания медицинской помощи детям в учреждениях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6. Основной задачей медицинских работников указанных выше структурных подразделений является организация и оказание медицинской помощи детям в учреждениях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Организация работы проводится в соответствии с нормативными правовыми актами и иными правовыми актами Республики Беларусь, Министерства здравоохранения Республики Беларусь, других органов управления здравоохранения, Уставом организации здравоохранения, приказами руководителя, должностными инструкциями, правилами внутреннего трудового распорядка.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Оказание медицинской помощи осуществляется в медицинских кабинетах (пунктах), расположенных на базе учреждений образования, которые оснащаются в соответствии с приложением 1 к настоящей Инструкции.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lastRenderedPageBreak/>
        <w:t>7. В соответствии с основной задачей медицинский персонал в учреждениях образования выполняет следующие функции: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проводит работу по формированию у детей потребности в здоровом образе жизни, профилактическую работу с законными представителями ребенка, педагогическим коллективом;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обеспечивает динамическое медицинское наблюдение за условиями обучения и воспитания детей и подростков в организованных коллективах;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совместно с администрацией учреждения образования участвует в разработке мер по снижению заболеваемости, травматизма и укреплению здоровья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совместно с руководителем учреждения образования, территориальным центром гигиены и эпидемиологии обеспечивает соблюдение санитарных норм, правил и гигиенических нормативов в учреждениях образования, в том числе участвует в организации питания и осуществлении контрольных мероприятий по названным направлениям деятельности;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совместно с территориальным центром гигиены и эпидемиологии проводит противоэпидемические мероприятия, включая периодический осмотр обучающихся на педикулез и заразные кожные заболевания;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оказывает первичную доврачебную, врачебную (при наличии в штате врача) неотложную медицинскую помощь в медицинских кабинетах (пунктах) учреждений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организует доставку детей в центральные районные (городские) больницы (поликлиники), а в детских домах, школах-интернатах для детей-сирот и детей, оставшихся без попечения родителей, иных учреждениях с круглосуточным пребыванием детей осуществляет сопровождение детей в период госпитализации или консультирования в районных (городских), областных и республиканских учреждениях здравоохранения;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организует и осуществляет контроль за проведением (при наличии соответствующих условий) иммунопрофилактики и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туберкулинодиагностики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у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ведет установленную медицинскую учетную и отчетную документацию.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8. Медицинские работники, оказывающие медицинскую помощь детям в учреждениях образования, при выполнении мероприятий по охране здоровья детей и подростков взаимодействуют: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 руководителями и специалистами структурных подразделений организаций здравоохранения по вопросам организации оказания медицинской помощи детям в учреждениях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 родителями (законными представителями) ребенка по вопросам, связанным с оказанием медицинской помощи, формированием потребности в здоровом образе жизни, сохранении репродуктивного здоровья, профессиональной ориентации;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с руководителями и работниками учреждений образования по вопросам организации медицинского контроля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здоровьесберегающих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условий обучения и воспитания детей, организации питания, оздоровительных и закаливающих мероприятий, физического воспитания, санитарно-просветительной работы по формированию здорового образа жизни;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 органами опеки и попечительства по работе в пределах своей компетенции с несовершеннолетними, находящимися в социально опасном положении.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9. Обеспечение оказания медицинской помощи детям в учреждениях образования определяется договором между территориальной организацией здравоохранения и местными органами управления образованием (непосредственно учреждением образования) (далее - договор) в соответствии с законодательством.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10. Фактический объем работ, выполняемых медицинскими работниками в учреждениях образования, зависит от типа (вида) учреждения образования, численности групп (классов), возраста и контингента детей, режима работы учреждения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Должностные инструкции медицинских работников, разработанные в соответствии с настоящей Инструкцией, и график работы медицинского работника в учреждении образования утверждаются руководителем соответствующей организации здравоохранения по согласованию с руководителем учреждения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11. Приобретение лекарственных средств осуществляется территориальной организацией здравоохранения: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для формирования укладок по оказанию неотложной помощи воспитанникам учреждений образования с круглосуточным пребыванием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для оснащения медицинского кабинета учреждения образования лекарственными и дезинфицирующими средствами в соответствии с приложением 2 к настоящей Инструкции;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для получения лечения по назначению врача, в том числе при нахождении на постоянной заместительной терапии, в детских домах, школах-интернатах для детей-сирот и детей, оставшихся без попечения родителей, иных учреждениях образования с круглосуточным пребыванием.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12. В медицинском кабинете (пункте) формируется аптечка в соответствии с приложением 2 к настоящей Инструкции.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lastRenderedPageBreak/>
        <w:t>Комплектация аптечки проводится территориальной организацией здравоохранения. Ответственность за своевременность подачи требований по дооснащению аптечки, контроль за сроками годности лекарственных средств возлагается на медицинского работника.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13. Медицинский работник несет ответственность за своевременность подачи заявки на метрологическую поверку оборудования и его ремонт. Метрологическая поверка, ремонт оборудования, находящегося в медицинских кабинетах (пунктах) учреждений образования, осуществляется территориальной организацией здравоохранения в установленном законодательством порядке.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14. В медицинском кабинете (пункте) учреждений образования с круглосуточным пребыванием детей формируются укладки с алгоритмами действий медицинского работника по оказанию неотложной помощи при возникновении следующих состояний: гипертермия, судорожный синдром,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бронхообструктивный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синдром,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стенозирующий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ларинготрахеит, анафилактический шок, гипогликемия; аптечка для профилактики профессионального заражения ВИЧ,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противопедикулезная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укладка, средства для оказания первичной (доврачебной) медицинской помощи при кровотечениях, травмах, переломах.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При обеспечении медицинского сопровождения участия детей в массовых мероприятиях, на госпитализацию или консультацию в организации здравоохранения формируется транспортная укладка.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15. При нахождении ребенка на постоянной заместительной терапии или при получении им каких-либо лекарственных средств по назначению врача медицинский работник выполняет данные назначения или создает условия для их выполнения при предоставлении родителями либо законными представителями ребенка (за исключением руководителей детских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интернатных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учреждений) лекарственных средств и расходных материалов, а также соответствующего заявления на прием лекарственных средств на основании заключения врача.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16. В медицинском кабинете ведется следующая медицинская документация: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журнал регистрации амбулаторных пациентов (форма N 074/у);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журнал учета инфекционных заболеваний, пищевых отравлений, осложнений после прививки (форма N 060/у);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журнал учета санитарно-просветительной работы (форма N 038/у);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журнал учета температуры в холодильнике;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журнал изолятора.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Бухгалтерская документация ведется в соответствии с действующим законодательством.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При организации и проведении иммунопрофилактики и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туберкулинодиагностики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медицинскими работниками на базе медицинских кабинетов учреждений образования ведется соответствующая медицинская документация.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17. Вопросы организации медицинской помощи в учреждениях образования ежегодно рассматриваются на заседании медико-санитарного совета территориальной организации здравоохранения с участием руководителей учреждений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Вопросы состояния здоровья детей, обучающихся в учреждениях образования, не менее двух раз в год должны рассматриваться на педагогических советах учреждения образования и родительских собраниях.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18. При возникновении производственной необходимости в установленном законодательством порядке может осуществляться перераспределение функциональных обязанностей между медицинскими работниками в учреждениях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19. Примерный объем работ, выполняемых в учреждениях образования медицинскими работниками со средним специальным образованием: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организационного характера: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ведение установленной медицинской учетно-отчетной документации;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учет и хранение медицинского оборудования, изделий медицинского назначения, лекарственных средств;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 дошкольных учреждениях контроль ежедневного утреннего приема детей, проводимого воспитателями группы;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участие в организации и контроле совместно с руководителем учреждения образования санитарно-эпидемиологического режима, режима дня, питания, санитарного состояния помещений (пищеблока, учебных классов, игровых, спальных помещений, физкультурного зала, территории), занятий физической культурой;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выполнение положений должностной инструкции;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проведение инструктажа с персоналом учреждений образования по соблюдению санитарно-эпидемиологического режима;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оказание в пределах компетенции помощи администрации и коллективу учреждения образования в решении задач по сохранению и укреплению здоровья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lastRenderedPageBreak/>
        <w:t>- осуществление контроля совместно с администрацией учреждения образования и территориальным центром гигиены и эпидемиологии в организации питания в учреждениях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- участие совместно с руководителем учреждения образования и иными работниками в организации питания обучающихся в соответствии с действующими санитарными нормами, правилами и </w:t>
      </w:r>
      <w:proofErr w:type="gram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гигиеническими нормативами</w:t>
      </w:r>
      <w:proofErr w:type="gram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и должностными инструкциями;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участие в организации летнего оздоровления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выполняет иные функции в строгом соответствии с действующими Санитарными нормами, правилами и гигиеническими нормативами;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организация оказания медицинской помощи: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выполнение поручений и назначений врача по всем аспектам организации оказания медицинской помощи детям в учреждениях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выполнение врачебных назначений по лечению детей с заболеваниями, не препятствующими нахождению в учреждениях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осмотр детей при подозрении на острое заболевание и детей, находящихся в изоляторе;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оказание доврачебной медицинской помощи, в том числе неотложной, при угрожающих жизни состояниях;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организация оказания врачебной помощи, госпитализации ребенка в стационарную организацию здравоохранения, вызов бригады скорой медицинской помощи; для учреждений с круглосуточным пребыванием детей - сопровождение на госпитализацию и консультацию в государственные организации здравоохранения, в том числе областного и республиканского уровня;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информирование родителей и законных представителей ребенка о случае заболевания ребенка во время пребывания в учреждении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периодические осмотры детей на наличие заразных кожных заболеваний, педикулеза;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организация и проведение осмотров всех вновь поступивших детей с определением совместно с коллективом учреждения образования комплекса мероприятий, направленных на благоприятное течение периода адаптации;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профилактическая и санитарно-просветительная работа: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оздоровительно-профилактические мероприятия, направленные на предупреждение заболеваний и травм, закаливание детей и формирование у них основ здорового образа жизни;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представление рекомендаций родителям либо законным представителям ребенка по здоровому образу жизни, закаливанию и оздоровлению ребенка с учетом его возраста, состояния здоровья и особенностей развития;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проведение совместно с территориальными центрами гигиены и эпидемиологии противоэпидемических мероприятий при возникновении инфекционных заболеваний;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санитарно-просветительская работа с детьми, сотрудниками учреждений образования и законными представителями ребенка;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обеспечение защиты прав детей (в пределах компетентности): выявление детей, находящихся в социально опасном положении, пострадавших от жесткого обращения с ними, детей, нуждающихся в государственной защите, и передача сведений об этих детях в территориальную организацию здравоохранения и руководителю учреждения образования.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20. Объем работ, выполняемых врачом-педиатром, в учреждениях образования: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организационного характера: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руководство работой медицинского персонала со средним специальным медицинским образованием по всему объему выполняемых ими работ при организации медицинской помощи детям в учреждении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ведение установленной учетно-отчетной медицинской документации, контроль качества ее ведения медицинским работником со средним медицинским образованием;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анализ результатов медицинского осмотра детей, информирование руководства учреждения образования о состоянии и динамике их здоровья и разработка комплекса мер, направленных на укрепление и сохранение здоровья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контроль организации питания в учреждениях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обеспечение преемственности между территориальной организацией здравоохранения, учреждением образования и другими заинтересованными органами по вопросам здоровья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обеспечение врачебного сопровождения при организации физического воспитания и закаливания детей (совместно с руководителем учреждения образования);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организация оказания медицинской помощи: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амбулаторный прием детей, оказание им врачебной, в том числе неотложной, медицинской помощи и организация, при необходимости, оказания специализированной медицинской помощи, госпитализации ребенка в стационарную организацию здравоохранения;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медицинский осмотр детей, в том числе находящихся в изоляторе, назначение соответствующих лечебно-диагностических, оздоровительных, реабилитационных мероприятий;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lastRenderedPageBreak/>
        <w:t>- организация и проведение медицинских профилактических осмотров детей с оценкой группы здоровья, физического развития и группы по физической культуре (в зависимости от типа и / или вида учреждения);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проведение совместно с работниками учреждения образования в пределах своей компетенции работы по профессиональной ориентации школьников;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участие в организации летнего оздоровления детей.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21. Объем работ, выполняемых профильным специалистом (врачом-стоматологом, врачом-психотерапевтом, врачом-физиотерапевтом, врачом-травматологом-ортопедом, врачом-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оториноларингологом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, врачом-психиатром, врачом-онкологом, психологом, логопедом и другими врачами специалистами), в учреждениях образования дополняется соответствующими положениями по специальности с учетом его фактической занятости, а также в зависимости от типа и / или вида учреждения.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22. При круглосуточном нахождении детей в учреждении образования (школы-интернаты, детские дома, гимназии-интернаты, кадетские училища и др.) объем работ врача-педиатра дополняется следующими положениями: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организация диспансерного наблюдения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контроль состояния их здоровья, в том числе после вакцинации, выписки из стационарных организаций здравоохранения и учреждений оздоровления;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организация и проведение консультаций, амбулаторного лечения, лечения в изоляторе, реабилитационных мероприятий;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организация медицинского сопровождения групп детей при проведении массовых мероприятий.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23. В санаторных школах-интернатах примерный объем работ, определенный пунктом 15, дополняется положениями по организации проведения диагностических, лечебно-оздоровительных и реабилитационных мероприятий по каждому профилю соответственно.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24. Примерный объем работ, выполняемых в учреждениях образования с круглосуточным пребыванием детей, медицинской сестрой-диетологом: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выполнение функциональных обязанностей медицинской сестры-диетолога предполагает: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ведение установленной документации;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контроль прохождения сотрудниками пищеблока медицинских осмотров;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- участие в работе </w:t>
      </w:r>
      <w:proofErr w:type="spellStart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бракеражной</w:t>
      </w:r>
      <w:proofErr w:type="spellEnd"/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комиссии;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участие в разработке меню-раскладки и составлении ежедневного меню на основании примерного двухнедельного меню;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анализ выполнения натуральных норм основных продуктов с последующей корректировкой меню;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проведение С-витаминизации готовых блюд;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организацию индивидуального диетического питания детей на основании заключения врача;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анализ данных по организации питания детей в учреждении образования и представление информации руководителю организации здравоохранения и учреждения образования;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при необходимости оказание доврачебной медицинской помощи;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совместно с администрацией учреждения образования осуществляет контроль: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соблюдения санитарных норм, правил и гигиенических нормативов при организации питания детей;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санитарного состояния пищеблока;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качества доставляемых продуктов, правил хранения и сроков реализации;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закладки продуктов питания и выхода блюд, отпуск продуктов из пищеблока;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соблюдения технологии приготовления и качества пищи;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соблюдения графика выдачи пищи на пищеблоке;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ведения журнала "Здоровье";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 укомплектованности аптечки первой медицинской помощи на пищеблоке;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выполняет иные функции по организации питания в строгом соответствии с действующими Санитарными нормами, правилами и гигиеническими нормативами.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Приложение 1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к Инструкции об организации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оказания медицинской помощи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учащимся в учреждениях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образования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ПРИМЕРНЫЙ ТАБЕЛЬ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ОСНАЩЕНИЕ МЕДИЦИНСКОГО КАБИНЕТА / ПУНКТА В УЧРЕЖДЕНИЯХ ОБРАЗОВАНИЯ</w:t>
      </w:r>
    </w:p>
    <w:tbl>
      <w:tblPr>
        <w:tblW w:w="0" w:type="auto"/>
        <w:tblInd w:w="100" w:type="dxa"/>
        <w:shd w:val="clear" w:color="auto" w:fill="E8E8E8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0"/>
        <w:gridCol w:w="5280"/>
        <w:gridCol w:w="2760"/>
      </w:tblGrid>
      <w:tr w:rsidR="00051294" w:rsidRPr="00051294" w:rsidTr="00051294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N п/п 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Наименование изделий медицинского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     назначения и медицинской техники      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Количество изделий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        (штук)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lastRenderedPageBreak/>
              <w:t>  1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Аппарат для ручной вентиляции легких (мешок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Амбу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в комплекте)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Весы медицинские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Воздуховод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Грелка резиновая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5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Дозатор для жидкого мыла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6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Емкость для термометров и шпателей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2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7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Жгут кровоостанавливающий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2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8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Зажим кровоостанавливающий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3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9 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Зонд желудочный с воронкой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2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10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Клеенка медицинская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3 метра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11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Коробка стерилизационная круглая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2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12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Корнцанг прямой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13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Кружка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Эсмарха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(резиновая), комплект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14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Кушетка медицинская смотровая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15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Лоток (тазик) эмалированный почкообразный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4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16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Наборы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посиндромный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, для оказания скорой и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неотложной медицинской помощи (в    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учреждениях образования для круглосуточного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пребывания)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по 1  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17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Ножницы   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2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18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Носилки санитарные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19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Облучатель бактерицидный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настенно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-  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потолочный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20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Одноразовые стаканчики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100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21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Палочка для йода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100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22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Перчатки хирургические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30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23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Пинцет    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24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Пипетка глазная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10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25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Прибор для измерения артериального давления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(тонометр с разновозрастными манжетами)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26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Пузырь для льда резиновый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27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Ростомер  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28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Салфетки стерильные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30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29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Система для переливания крови,      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кровезаменителей и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растворов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(одноразовая) (в учреждениях образования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для круглосуточного пребывания)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2    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30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Секундомер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31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Скальпель 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32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Спринцовка с мягким наконечником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33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Стол, 2 стула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34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Столик инструментальный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35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Таблица для определения остроты зрения +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осветитель таблиц для определения остроты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зрения    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36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Термометр медицинский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10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37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Холодильник для хранения медицинских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препаратов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lastRenderedPageBreak/>
              <w:t>  38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Фонендоскоп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39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Щетка для рук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40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Шины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иммобилизационные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5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41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Шкаф двухстворчатый для одежды медицинского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персонала 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42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Шкаф медицинский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2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43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Шпатель одноразовый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100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44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Шприц одноразовый 2,0; 5,0; 10,0 мл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по 20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45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Штатив    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46  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Электросушильное устройство или набор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одноразовых полотенец                     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1           </w:t>
            </w:r>
          </w:p>
        </w:tc>
      </w:tr>
    </w:tbl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Приложение 2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к Инструкции об организации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оказания медицинской помощи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учащимся в учреждениях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right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образования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ПЕРЕЧЕНЬ ЛЕКАРСТВЕННЫХ И ДЕЗИНФИЦИРУЮЩИХ СРЕДСТВ ДЛЯ ОСНАЩЕНИЯ МЕДИЦИНСКОГО КАБИНЕТА УЧРЕЖДЕНИЯ ОБРАЗОВАНИЯ</w:t>
      </w:r>
    </w:p>
    <w:p w:rsidR="00051294" w:rsidRPr="00051294" w:rsidRDefault="00051294" w:rsidP="0005129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(ИЗ РАСЧЕТА НА 100 ДЕТЕЙ)</w:t>
      </w:r>
    </w:p>
    <w:tbl>
      <w:tblPr>
        <w:tblW w:w="0" w:type="auto"/>
        <w:tblInd w:w="100" w:type="dxa"/>
        <w:shd w:val="clear" w:color="auto" w:fill="E8E8E8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0"/>
        <w:gridCol w:w="5520"/>
        <w:gridCol w:w="1080"/>
        <w:gridCol w:w="1440"/>
      </w:tblGrid>
      <w:tr w:rsidR="00051294" w:rsidRPr="00051294" w:rsidTr="00051294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N п/п 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      Наименование                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Форма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выпуска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Количество </w:t>
            </w:r>
          </w:p>
        </w:tc>
      </w:tr>
      <w:tr w:rsidR="00051294" w:rsidRPr="00051294" w:rsidTr="00051294"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             На 1 учреждение образования                  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Аммиака раствор 10%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Атропина сульфат 0,1% - 1 мл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Беродуал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аэрозоль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уп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1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Бинт медицинский стерильный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шт.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5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Бинт медицинский нестерильный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шт.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20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6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Борная кислота спиртовой р-р 3% - 10 мл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7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Бриллиантовый зеленый спиртовой р-р 1% -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10 мл     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8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Валериана настойка 30 мл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9 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Валидол 0,06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уп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10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Вата      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г 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1000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11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Вода для инъекций 5 мл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12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Гидроперит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0,75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таб.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13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Глюкозы раствор для инъекций 40% - 20,0 мл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14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Дибазол, раствор для инъекций 1% - 1,0 мл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15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Диазепам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, &lt;*&gt; раствор для инъекций 2,0 мл.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16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Дротаверина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гидрохлорид, раствор для инъекций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2% - 2 мл 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17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Дротаверина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гидрохлорид 0,04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таб.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40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18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Йода раствор спиртовой 5% - 10,0 мл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19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Калия перманганат, порошок 5,0 (3,0)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уп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20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Карболен 0,25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таб.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100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21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, мазь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1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22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Лейкопластырь бактерицидный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шт.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50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23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Лейкопластырь катушечный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шт.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2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24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Лоратадин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0,01 или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Хлоропирамин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(супрастин)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0,25                                         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таб.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20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lastRenderedPageBreak/>
              <w:t>  25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Магния сульфат, раствор для инъекций  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25% - 10,0 мл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26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Марля     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м 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27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Метамизол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натрия (анальгин) 0,5 N 10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уп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20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28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Метамизола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натрия р-р 50% - 2,0 мл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29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Метоклопрамид (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церукал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) 0,01 N 10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уп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3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30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Натрия хлорид, раствор для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инфузий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0,9% -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200,0                                        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2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31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Нафазолин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, раствор 0,05%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10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32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Нитрофурал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(фурацилин) 0,1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таб.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40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33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Нифуроксазид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0,1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таб.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20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34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Пантенол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спрей, аэрозоль 130,0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1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35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Парацетамол 0,5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таб.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40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36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Педекс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лосьон 0,5% - 60,0 мл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1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37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Преднизолон, раствор для инъекций 25 (30)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мг/мл     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38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Прокаина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гидрохлорид (новокаин) раствор для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инъекций 0,5% - 5,0 мл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39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Септефрил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0,0002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таб.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30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40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Септоцид-синерджи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1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41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Синтомицина линимент 10% - 100,0 г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1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42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Стрептоцид мазь 10% - 100,0 г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1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43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Сульфацил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натрий 20%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44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Фуросемид (лазикс), раствор для инъекций 1% -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1,0 мл    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45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Антисептик     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1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46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Хлорамфеникол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(левомицетин) раствор 0,25%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(глазные капли)     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47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Хлоропирамин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(супрастин), раствор для     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инъекций 2% - 1,0 мл   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48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Цитрамон 0,5 N 6 (N 10)   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уп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49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Эпинефрин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(адреналина гидрохлорид), раствор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для инъекций 0,1% - 1,0 мл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амп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  5     </w:t>
            </w:r>
          </w:p>
        </w:tc>
      </w:tr>
      <w:tr w:rsidR="00051294" w:rsidRPr="00051294" w:rsidTr="00051294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50 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Антибактериальные препараты в укладках для   </w:t>
            </w: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br/>
              <w:t>оказания неотложной помощи                  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</w:t>
            </w:r>
            <w:proofErr w:type="spellStart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фл</w:t>
            </w:r>
            <w:proofErr w:type="spellEnd"/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051294" w:rsidRPr="00051294" w:rsidRDefault="00051294" w:rsidP="00051294">
            <w:pPr>
              <w:spacing w:after="240" w:line="240" w:lineRule="auto"/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</w:pPr>
            <w:r w:rsidRPr="00051294">
              <w:rPr>
                <w:rFonts w:ascii="Courier New" w:eastAsia="Times New Roman" w:hAnsi="Courier New" w:cs="Courier New"/>
                <w:color w:val="373737"/>
                <w:sz w:val="20"/>
                <w:szCs w:val="20"/>
                <w:lang w:eastAsia="ru-RU"/>
              </w:rPr>
              <w:t>   по 1    </w:t>
            </w:r>
          </w:p>
        </w:tc>
      </w:tr>
    </w:tbl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--------------------------------</w:t>
      </w:r>
    </w:p>
    <w:p w:rsidR="00051294" w:rsidRPr="00051294" w:rsidRDefault="00051294" w:rsidP="00051294">
      <w:pPr>
        <w:shd w:val="clear" w:color="auto" w:fill="E8E8E8"/>
        <w:spacing w:after="0" w:line="240" w:lineRule="auto"/>
        <w:ind w:firstLine="540"/>
        <w:jc w:val="both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051294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&lt;*&gt; При выполнении требований к условиям хранения данного препарата.</w:t>
      </w:r>
    </w:p>
    <w:p w:rsidR="005519A2" w:rsidRDefault="005519A2"/>
    <w:sectPr w:rsidR="0055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94"/>
    <w:rsid w:val="00051294"/>
    <w:rsid w:val="0055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3E23-343F-4923-9154-5E419ABE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512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2019-03-11T13:00:00Z</dcterms:created>
  <dcterms:modified xsi:type="dcterms:W3CDTF">2019-03-11T13:01:00Z</dcterms:modified>
</cp:coreProperties>
</file>