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F9" w:rsidRPr="005F62F9" w:rsidRDefault="005F62F9" w:rsidP="005F62F9">
      <w:pPr>
        <w:spacing w:after="0" w:line="240" w:lineRule="auto"/>
        <w:rPr>
          <w:rFonts w:ascii="Arial" w:eastAsia="Times New Roman" w:hAnsi="Arial" w:cs="Arial"/>
          <w:color w:val="3C3C3C"/>
          <w:sz w:val="23"/>
          <w:szCs w:val="23"/>
          <w:shd w:val="clear" w:color="auto" w:fill="FFFFFF"/>
          <w:lang w:eastAsia="ru-RU"/>
        </w:rPr>
      </w:pPr>
      <w:r w:rsidRPr="005F6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62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"http://www.kem.by/proforientir/myshlenie-i-profesiya/" </w:instrText>
      </w:r>
      <w:r w:rsidRPr="005F6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F62F9" w:rsidRPr="005F62F9" w:rsidRDefault="005F62F9" w:rsidP="005F62F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36523"/>
          <w:sz w:val="36"/>
          <w:szCs w:val="36"/>
          <w:lang w:eastAsia="ru-RU"/>
        </w:rPr>
      </w:pPr>
      <w:bookmarkStart w:id="0" w:name="_GoBack"/>
      <w:r w:rsidRPr="005F62F9">
        <w:rPr>
          <w:rFonts w:ascii="Arial" w:eastAsia="Times New Roman" w:hAnsi="Arial" w:cs="Arial"/>
          <w:color w:val="F36523"/>
          <w:sz w:val="36"/>
          <w:szCs w:val="36"/>
          <w:shd w:val="clear" w:color="auto" w:fill="FFFFFF"/>
          <w:lang w:eastAsia="ru-RU"/>
        </w:rPr>
        <w:t>Мышление и профессия</w:t>
      </w:r>
    </w:p>
    <w:bookmarkEnd w:id="0"/>
    <w:p w:rsidR="005F62F9" w:rsidRPr="005F62F9" w:rsidRDefault="005F62F9" w:rsidP="005F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F62F9" w:rsidRPr="005F62F9" w:rsidRDefault="005F62F9" w:rsidP="005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70" name="Рисунок 70" descr="kb01_2016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kb01_2016-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Способность к мышлению – главный признак человека, выделяющий его из многообразного животного мира. Можно сказать, что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мышление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– это высшая форма отражения человеческим мозгом окружающего мира, целенаправленное умственное действие.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Мышление человека как форма умственной активности совершается при помощи следующих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мыслительных операций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: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сравнение;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анализ;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синтез;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абстрагирование (отвлечение);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конкретизация;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обобщение;</w:t>
      </w:r>
    </w:p>
    <w:p w:rsidR="005F62F9" w:rsidRPr="005F62F9" w:rsidRDefault="005F62F9" w:rsidP="005F62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систематизация.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Первым следует назвать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сравнение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«Все познается в сравнении» – есть такая древняя мудрость. Невозможно оценить какое-либо явление, предмет, событие, объект, не сравнивая его с чем-то или кем-то другим. Сравнивая, мы определяем свое отношение к книге, фильму, человеку. И даже когда мы, казалось бы, ничего не сравниваем осознанно, все равно в основе наших оценок лежит неосознанное сравнение. Например, когда мы говорим: «Этот мальчик высокого роста», – мы имеем в виду, что он выше большинства мальчиков, с которыми нам приходилось сталкиваться.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lastRenderedPageBreak/>
        <w:t>Анализ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– мысленное разложение целого на составные части. Например, глядя на книгу, мы отмечаем, что она состоит из страниц, скрепленных переплетом, ее текст состоит из глав, а они, в свою очередь, – из абзацев, те – из слов, а слова – из букв.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 противоположность анализу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синтез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– мысленное соединение частей в целое. Предположим, на складе металлолома вы увидите сваленные в кучу велосипедный руль, раму, ободья и крылья. Невольно в сознании возникнет образ велосипеда, который можно собрать из этих частей. Синтез и анализ – две взаимосвязанные операции. Когда работает одна из них, одновременно работает и другая.</w:t>
      </w:r>
    </w:p>
    <w:p w:rsidR="005F62F9" w:rsidRPr="005F62F9" w:rsidRDefault="005F62F9" w:rsidP="005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69" name="Рисунок 69" descr="kb01_2016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kb01_2016-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Абстрагирование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– мысленное отделение какого-либо признака, свойства от самого предмета. Например, услышав шум автомобильного двигателя, мы думаем о нем, при этом на какое-то время совершенно забывая о его источнике – автомобиле. Думая о шуме, мы рассуждаем о способах борьбы с ним и о том, сколько проблем он привносит в нашу жизнь, и только позже вспоминаем про его источник.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Обобщение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– мысленное объединение предметов и явлений в группы по тем общим и существенным признакам, которые выделяются в процессе абстрагирования. Например, когда мы слышим перечисление «сорока, ворона, голубь, ласточка, воробей, аист», мы знаем, что все они – птицы. Объединение зависит от нашего жизненно- го опыта и знаний, которыми мы владеем.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Операция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конкретизации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противоположна и абстрагированию, и обобщению. При конкретизации какой-то абстрактный признак относят к конкретному предмету или явлению. Например, услышав или прочитав о пользе занятий спортом, вы записались в спортивную секцию, заодно привели туда и друга. Таким образом, общее положение, справедливое для всех, вы конкретизировали: применили к себе и своему другу.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И последнее –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систематизация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Скажем, вы пишете сочинение о поэзии Пушкина. Нужно быстро вспомнить все, что вы о ней знаете. Но в нашей памяти нет полок, как в книжном шкафу. Из общей массы знаний нужно извлечь именно то, что касается поэзии Пушкина, отделив эти данные от всех остальных: вначале от математики, географии, биологии, затем от Лермонтова, Тютчева, Фета… У систематизации много общего с классификацией. Чаще всего одно бывает невозможно без другого.</w:t>
      </w:r>
    </w:p>
    <w:p w:rsidR="005F62F9" w:rsidRPr="005F62F9" w:rsidRDefault="005F62F9" w:rsidP="005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371975" cy="3181350"/>
            <wp:effectExtent l="0" t="0" r="9525" b="0"/>
            <wp:docPr id="68" name="Рисунок 68" descr="kb01_2016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b01_2016-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Эти операции присущи мышлению всех людей без исключения, осознают они это или нет. Ими пользуется и младенец, и седовласый профессор. Мышление людей отличается не применяемыми операциями, а его качествами.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Различают четыре типа мышления:</w:t>
      </w:r>
    </w:p>
    <w:p w:rsidR="005F62F9" w:rsidRPr="005F62F9" w:rsidRDefault="005F62F9" w:rsidP="005F62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предметно-действенное;</w:t>
      </w:r>
    </w:p>
    <w:p w:rsidR="005F62F9" w:rsidRPr="005F62F9" w:rsidRDefault="005F62F9" w:rsidP="005F62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наглядно-образное;</w:t>
      </w:r>
    </w:p>
    <w:p w:rsidR="005F62F9" w:rsidRPr="005F62F9" w:rsidRDefault="005F62F9" w:rsidP="005F62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абстрактно-символическое;</w:t>
      </w:r>
    </w:p>
    <w:p w:rsidR="005F62F9" w:rsidRPr="005F62F9" w:rsidRDefault="005F62F9" w:rsidP="005F62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• словесно-логическое.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Человеку, склонному к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предметно-действенному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типу мышления, легче всего думать, видя объект своего мышления. За мыслью у него следует конкретное действие, на базе которого возникает следующая мысль, и так далее. О таком человеке часто говорят, что он «мыслит руками». Ясно, что лучше всего он сможет проявить себя в практических областях деятельности – например, на производстве. Люди, обладающие данным типом мышления, водят машины, стоят у станков, собирают компьютеры. Без них невозможно реализовать самую блестящую идею. Этим мышлением обладают и многие выдающиеся спортсмены, танцоры.</w:t>
      </w:r>
    </w:p>
    <w:p w:rsidR="005F62F9" w:rsidRPr="005F62F9" w:rsidRDefault="005F62F9" w:rsidP="005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lastRenderedPageBreak/>
        <w:drawing>
          <wp:inline distT="0" distB="0" distL="0" distR="0">
            <wp:extent cx="4010025" cy="2924175"/>
            <wp:effectExtent l="0" t="0" r="9525" b="9525"/>
            <wp:docPr id="67" name="Рисунок 67" descr="kb01_2016-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kb01_2016-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Наглядно-образное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мышление – это мышление по представлению. Человеку с таким мышлением легко представить себе образ объекта, предмета или явления своих мыслей. Эти образы всегда конкретны и неповторимы, потому что, как правило, в мышлении таких людей в первую очередь возникает операция синтеза. Люди, склонные к наглядно-образному типу мышления, становятся изобретателями, художниками, дизайнерами, поэтами, писателями, артистами, режиссерами.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Абстрактно-символическим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типом мышления обладают многие люди науки: физики-теоретики, математики, экономисты, аналитики, программисты. Это мышление, которое опирается на общие и отвлеченные понятия. Люди с таким типом мышления могут усваивать информацию с помощью математических кодов, формул, операций… с помощью того, что невозможно потрогать. В противоположность художникам такие люди больше всего склонны к анализу, обобщению и абстрагированию. Благодаря особенностям такого мышления на основе гипотез сделаны многие открытия во всех областях науки.</w:t>
      </w:r>
    </w:p>
    <w:p w:rsidR="005F62F9" w:rsidRPr="005F62F9" w:rsidRDefault="005F62F9" w:rsidP="005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3686175" cy="2686050"/>
            <wp:effectExtent l="0" t="0" r="9525" b="0"/>
            <wp:docPr id="66" name="Рисунок 66" descr="kb01_2016-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b01_2016-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И, наконец, </w:t>
      </w: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словесно-логическое</w:t>
      </w: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мышление. Оно характерно для людей с ярко выраженными вербальными способностями. Благодаря развитому словесно-логическому мышлению ученый, преподаватель, переводчик, писатель, филолог, журналист могут ясно, четко и образно сформулировать свои мысли и донести их до общественности.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Нельзя сказать, что типы мышления взаимно исключают друг друга. Нет такого человека, который в своей мыслительной деятельности мог бы обойтись только одним типом мышления. К примеру, высшие продукты абстрактного мышления – научные гипотезы – были бы бессмысленны, не будь они направлены на осмысление и изменение действительности. Каждый тип мышления имеет свои особенности и индивидуальный способ пре- образования информации. Зная свой тип мышления, можно прогнозировать успешность в том или ином виде профессиональной деятельности.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Итак, развитый ум – это гармоничное сочетание всех типов мышления при бесспорном преобладании одного из них. Преобладающий тип мышления является важнейшей индивидуальной характеристикой человека, которая определяет склонности, способности и интересы. По всей видимости, самый разумный путь – развивать тот тип мышления, к которому обнаруживается наибольшая склонность. Соответственно ему и следует выбирать будущую профессию.</w:t>
      </w:r>
    </w:p>
    <w:p w:rsidR="005F62F9" w:rsidRPr="005F62F9" w:rsidRDefault="005F62F9" w:rsidP="005F62F9">
      <w:pPr>
        <w:shd w:val="clear" w:color="auto" w:fill="FFFFFF"/>
        <w:spacing w:after="240" w:line="360" w:lineRule="atLeast"/>
        <w:jc w:val="right"/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</w:pPr>
      <w:r w:rsidRPr="005F62F9">
        <w:rPr>
          <w:rFonts w:ascii="Arial" w:eastAsia="Times New Roman" w:hAnsi="Arial" w:cs="Arial"/>
          <w:b/>
          <w:bCs/>
          <w:i/>
          <w:iCs/>
          <w:color w:val="727272"/>
          <w:sz w:val="23"/>
          <w:szCs w:val="23"/>
          <w:lang w:eastAsia="ru-RU"/>
        </w:rPr>
        <w:t>Екатерина ПАСТУШКОВА</w:t>
      </w:r>
    </w:p>
    <w:p w:rsidR="00CF331A" w:rsidRPr="005F62F9" w:rsidRDefault="00CF331A" w:rsidP="005F62F9"/>
    <w:sectPr w:rsidR="00CF331A" w:rsidRPr="005F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6BC"/>
    <w:multiLevelType w:val="multilevel"/>
    <w:tmpl w:val="051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3131"/>
    <w:multiLevelType w:val="multilevel"/>
    <w:tmpl w:val="CB3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9099F"/>
    <w:multiLevelType w:val="multilevel"/>
    <w:tmpl w:val="A55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01E7"/>
    <w:multiLevelType w:val="multilevel"/>
    <w:tmpl w:val="6A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87471"/>
    <w:multiLevelType w:val="multilevel"/>
    <w:tmpl w:val="B7FE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2428"/>
    <w:multiLevelType w:val="multilevel"/>
    <w:tmpl w:val="71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C15B3"/>
    <w:multiLevelType w:val="multilevel"/>
    <w:tmpl w:val="58A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01631"/>
    <w:multiLevelType w:val="multilevel"/>
    <w:tmpl w:val="0D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C70B0"/>
    <w:multiLevelType w:val="multilevel"/>
    <w:tmpl w:val="C7C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10F7A"/>
    <w:multiLevelType w:val="multilevel"/>
    <w:tmpl w:val="D6D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B0931"/>
    <w:multiLevelType w:val="multilevel"/>
    <w:tmpl w:val="801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921FB"/>
    <w:multiLevelType w:val="multilevel"/>
    <w:tmpl w:val="B2D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77941"/>
    <w:multiLevelType w:val="multilevel"/>
    <w:tmpl w:val="F3C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1747B"/>
    <w:multiLevelType w:val="multilevel"/>
    <w:tmpl w:val="E30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41A5E"/>
    <w:multiLevelType w:val="multilevel"/>
    <w:tmpl w:val="6B7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464E7"/>
    <w:multiLevelType w:val="multilevel"/>
    <w:tmpl w:val="97A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4503BC"/>
    <w:multiLevelType w:val="multilevel"/>
    <w:tmpl w:val="CE4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C4AD0"/>
    <w:multiLevelType w:val="multilevel"/>
    <w:tmpl w:val="C698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1023F"/>
    <w:multiLevelType w:val="multilevel"/>
    <w:tmpl w:val="9DE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95EBE"/>
    <w:multiLevelType w:val="multilevel"/>
    <w:tmpl w:val="CBD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C7B6A"/>
    <w:multiLevelType w:val="multilevel"/>
    <w:tmpl w:val="BCE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52661"/>
    <w:multiLevelType w:val="multilevel"/>
    <w:tmpl w:val="23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91CA7"/>
    <w:multiLevelType w:val="multilevel"/>
    <w:tmpl w:val="AD14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4A7CE5"/>
    <w:multiLevelType w:val="multilevel"/>
    <w:tmpl w:val="54F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E87CE6"/>
    <w:multiLevelType w:val="multilevel"/>
    <w:tmpl w:val="8A1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335B23"/>
    <w:multiLevelType w:val="multilevel"/>
    <w:tmpl w:val="37B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67384"/>
    <w:multiLevelType w:val="multilevel"/>
    <w:tmpl w:val="A24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C86201"/>
    <w:multiLevelType w:val="multilevel"/>
    <w:tmpl w:val="F62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4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4"/>
  </w:num>
  <w:num w:numId="8">
    <w:abstractNumId w:val="27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7"/>
  </w:num>
  <w:num w:numId="14">
    <w:abstractNumId w:val="32"/>
  </w:num>
  <w:num w:numId="15">
    <w:abstractNumId w:val="26"/>
  </w:num>
  <w:num w:numId="16">
    <w:abstractNumId w:val="30"/>
  </w:num>
  <w:num w:numId="17">
    <w:abstractNumId w:val="10"/>
  </w:num>
  <w:num w:numId="18">
    <w:abstractNumId w:val="18"/>
  </w:num>
  <w:num w:numId="19">
    <w:abstractNumId w:val="23"/>
  </w:num>
  <w:num w:numId="20">
    <w:abstractNumId w:val="36"/>
  </w:num>
  <w:num w:numId="21">
    <w:abstractNumId w:val="25"/>
  </w:num>
  <w:num w:numId="22">
    <w:abstractNumId w:val="29"/>
  </w:num>
  <w:num w:numId="23">
    <w:abstractNumId w:val="9"/>
  </w:num>
  <w:num w:numId="24">
    <w:abstractNumId w:val="34"/>
  </w:num>
  <w:num w:numId="25">
    <w:abstractNumId w:val="15"/>
  </w:num>
  <w:num w:numId="26">
    <w:abstractNumId w:val="0"/>
  </w:num>
  <w:num w:numId="27">
    <w:abstractNumId w:val="33"/>
  </w:num>
  <w:num w:numId="28">
    <w:abstractNumId w:val="6"/>
  </w:num>
  <w:num w:numId="29">
    <w:abstractNumId w:val="20"/>
  </w:num>
  <w:num w:numId="30">
    <w:abstractNumId w:val="28"/>
  </w:num>
  <w:num w:numId="31">
    <w:abstractNumId w:val="7"/>
  </w:num>
  <w:num w:numId="32">
    <w:abstractNumId w:val="13"/>
  </w:num>
  <w:num w:numId="33">
    <w:abstractNumId w:val="31"/>
  </w:num>
  <w:num w:numId="34">
    <w:abstractNumId w:val="35"/>
  </w:num>
  <w:num w:numId="35">
    <w:abstractNumId w:val="22"/>
  </w:num>
  <w:num w:numId="36">
    <w:abstractNumId w:val="24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1AA5"/>
    <w:rsid w:val="00006588"/>
    <w:rsid w:val="000B44B0"/>
    <w:rsid w:val="000E365C"/>
    <w:rsid w:val="00156D55"/>
    <w:rsid w:val="0019253D"/>
    <w:rsid w:val="002161E6"/>
    <w:rsid w:val="003149A9"/>
    <w:rsid w:val="003E20CF"/>
    <w:rsid w:val="00445406"/>
    <w:rsid w:val="004F1511"/>
    <w:rsid w:val="00550C8A"/>
    <w:rsid w:val="005630C6"/>
    <w:rsid w:val="005B6483"/>
    <w:rsid w:val="005C53B4"/>
    <w:rsid w:val="005F62F9"/>
    <w:rsid w:val="0061006F"/>
    <w:rsid w:val="00794E2A"/>
    <w:rsid w:val="007E3C38"/>
    <w:rsid w:val="008B7F40"/>
    <w:rsid w:val="008E0D25"/>
    <w:rsid w:val="0092773F"/>
    <w:rsid w:val="00954B31"/>
    <w:rsid w:val="00A74198"/>
    <w:rsid w:val="00AA08B3"/>
    <w:rsid w:val="00B261A1"/>
    <w:rsid w:val="00B96D89"/>
    <w:rsid w:val="00CC26B5"/>
    <w:rsid w:val="00CF331A"/>
    <w:rsid w:val="00D86781"/>
    <w:rsid w:val="00DE7B23"/>
    <w:rsid w:val="00E26E4A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4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or">
    <w:name w:val="autor"/>
    <w:basedOn w:val="a"/>
    <w:rsid w:val="0044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2019-02-10T13:56:00Z</dcterms:created>
  <dcterms:modified xsi:type="dcterms:W3CDTF">2019-02-10T13:56:00Z</dcterms:modified>
</cp:coreProperties>
</file>