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AF3A4C" w:rsidRPr="00E2293A" w:rsidRDefault="00ED439D" w:rsidP="00251649">
      <w:pPr>
        <w:jc w:val="center"/>
        <w:rPr>
          <w:rFonts w:ascii="Calibri" w:hAnsi="Calibri" w:cs="Calibri"/>
          <w:sz w:val="22"/>
        </w:rPr>
      </w:pPr>
      <w:r w:rsidRPr="00E2293A">
        <w:rPr>
          <w:rFonts w:ascii="Calibri" w:hAnsi="Calibri" w:cs="Calibri"/>
          <w:sz w:val="22"/>
        </w:rPr>
        <w:t>За дополнительн</w:t>
      </w:r>
      <w:r w:rsidR="00B41D88" w:rsidRPr="00E2293A">
        <w:rPr>
          <w:rFonts w:ascii="Calibri" w:hAnsi="Calibri" w:cs="Calibri"/>
          <w:sz w:val="22"/>
        </w:rPr>
        <w:t xml:space="preserve">ой информацией </w:t>
      </w:r>
      <w:r w:rsidR="00926058" w:rsidRPr="00E2293A">
        <w:rPr>
          <w:rFonts w:ascii="Calibri" w:hAnsi="Calibri" w:cs="Calibri"/>
          <w:sz w:val="22"/>
        </w:rPr>
        <w:t xml:space="preserve">и помощью </w:t>
      </w:r>
      <w:r w:rsidR="00B41D88" w:rsidRPr="00E2293A">
        <w:rPr>
          <w:rFonts w:ascii="Calibri" w:hAnsi="Calibri" w:cs="Calibri"/>
          <w:sz w:val="22"/>
        </w:rPr>
        <w:t>можно обратиться в</w:t>
      </w:r>
    </w:p>
    <w:p w:rsidR="00ED439D" w:rsidRPr="00E2293A" w:rsidRDefault="00ED439D" w:rsidP="00B41D88">
      <w:pPr>
        <w:jc w:val="center"/>
        <w:rPr>
          <w:rFonts w:ascii="Calibri" w:hAnsi="Calibri" w:cs="Calibri"/>
          <w:b/>
          <w:i/>
          <w:sz w:val="22"/>
        </w:rPr>
      </w:pPr>
      <w:r w:rsidRPr="00E2293A">
        <w:rPr>
          <w:rFonts w:ascii="Calibri" w:hAnsi="Calibri" w:cs="Calibri"/>
          <w:b/>
          <w:sz w:val="22"/>
        </w:rPr>
        <w:t xml:space="preserve">Радунский </w:t>
      </w:r>
      <w:r w:rsidR="00B41D88" w:rsidRPr="00E2293A">
        <w:rPr>
          <w:rFonts w:ascii="Calibri" w:hAnsi="Calibri" w:cs="Calibri"/>
          <w:b/>
          <w:sz w:val="22"/>
        </w:rPr>
        <w:t>социально-</w:t>
      </w:r>
      <w:r w:rsidRPr="00E2293A">
        <w:rPr>
          <w:rFonts w:ascii="Calibri" w:hAnsi="Calibri" w:cs="Calibri"/>
          <w:b/>
          <w:sz w:val="22"/>
        </w:rPr>
        <w:t>педагогический центр Вороновского района</w:t>
      </w:r>
      <w:r w:rsidR="003422E1" w:rsidRPr="00E2293A">
        <w:rPr>
          <w:rFonts w:ascii="Calibri" w:hAnsi="Calibri" w:cs="Calibri"/>
          <w:b/>
          <w:sz w:val="22"/>
        </w:rPr>
        <w:t xml:space="preserve"> по адресу: </w:t>
      </w:r>
      <w:r w:rsidR="003422E1" w:rsidRPr="00E2293A">
        <w:rPr>
          <w:rFonts w:ascii="Calibri" w:hAnsi="Calibri" w:cs="Calibri"/>
          <w:b/>
          <w:i/>
          <w:sz w:val="22"/>
        </w:rPr>
        <w:t>г.п. Радунь, ул. Советская, 108 (левое крыло здания школы-интерната)</w:t>
      </w:r>
    </w:p>
    <w:p w:rsidR="00251649" w:rsidRPr="0081077A" w:rsidRDefault="00251649" w:rsidP="00B41D88">
      <w:pPr>
        <w:jc w:val="center"/>
        <w:rPr>
          <w:rFonts w:ascii="Calibri" w:hAnsi="Calibri" w:cs="Calibri"/>
          <w:b/>
          <w:sz w:val="10"/>
        </w:rPr>
      </w:pPr>
    </w:p>
    <w:p w:rsidR="00897B14" w:rsidRDefault="00897B14" w:rsidP="0081077A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Педагог-психолог</w:t>
      </w:r>
      <w:r w:rsidR="00B41D88" w:rsidRPr="0081077A">
        <w:rPr>
          <w:rFonts w:ascii="Calibri" w:hAnsi="Calibri" w:cs="Calibri"/>
          <w:b/>
          <w:sz w:val="20"/>
          <w:szCs w:val="20"/>
        </w:rPr>
        <w:t>:</w:t>
      </w:r>
      <w:r w:rsidR="0081077A" w:rsidRPr="0081077A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Эйсмунт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А.Б.</w:t>
      </w:r>
    </w:p>
    <w:p w:rsidR="003422E1" w:rsidRPr="0081077A" w:rsidRDefault="003422E1" w:rsidP="0081077A">
      <w:pPr>
        <w:jc w:val="center"/>
        <w:rPr>
          <w:rFonts w:ascii="Calibri" w:hAnsi="Calibri" w:cs="Calibri"/>
          <w:b/>
          <w:sz w:val="20"/>
          <w:szCs w:val="20"/>
        </w:rPr>
      </w:pPr>
      <w:r w:rsidRPr="0081077A">
        <w:rPr>
          <w:rFonts w:ascii="Calibri" w:hAnsi="Calibri" w:cs="Calibri"/>
          <w:b/>
          <w:sz w:val="20"/>
          <w:szCs w:val="20"/>
        </w:rPr>
        <w:t>Педагоги социальные</w:t>
      </w:r>
      <w:r w:rsidR="00B41D88" w:rsidRPr="0081077A">
        <w:rPr>
          <w:rFonts w:ascii="Calibri" w:hAnsi="Calibri" w:cs="Calibri"/>
          <w:b/>
          <w:sz w:val="20"/>
          <w:szCs w:val="20"/>
        </w:rPr>
        <w:t>:</w:t>
      </w:r>
      <w:r w:rsidR="0081077A" w:rsidRPr="0081077A">
        <w:rPr>
          <w:rFonts w:ascii="Calibri" w:hAnsi="Calibri" w:cs="Calibri"/>
          <w:b/>
          <w:sz w:val="20"/>
          <w:szCs w:val="20"/>
        </w:rPr>
        <w:t xml:space="preserve"> </w:t>
      </w:r>
      <w:r w:rsidR="00251649" w:rsidRPr="0081077A">
        <w:rPr>
          <w:rFonts w:ascii="Calibri" w:hAnsi="Calibri" w:cs="Calibri"/>
          <w:i/>
          <w:sz w:val="20"/>
          <w:szCs w:val="20"/>
        </w:rPr>
        <w:t>Головня А</w:t>
      </w:r>
      <w:r w:rsidR="003B2916" w:rsidRPr="0081077A">
        <w:rPr>
          <w:rFonts w:ascii="Calibri" w:hAnsi="Calibri" w:cs="Calibri"/>
          <w:i/>
          <w:sz w:val="20"/>
          <w:szCs w:val="20"/>
        </w:rPr>
        <w:t>.</w:t>
      </w:r>
      <w:r w:rsidR="00251649" w:rsidRPr="0081077A">
        <w:rPr>
          <w:rFonts w:ascii="Calibri" w:hAnsi="Calibri" w:cs="Calibri"/>
          <w:i/>
          <w:sz w:val="20"/>
          <w:szCs w:val="20"/>
        </w:rPr>
        <w:t>И</w:t>
      </w:r>
      <w:r w:rsidR="003B2916" w:rsidRPr="0081077A">
        <w:rPr>
          <w:rFonts w:ascii="Calibri" w:hAnsi="Calibri" w:cs="Calibri"/>
          <w:i/>
          <w:sz w:val="20"/>
          <w:szCs w:val="20"/>
        </w:rPr>
        <w:t xml:space="preserve">., </w:t>
      </w:r>
      <w:proofErr w:type="spellStart"/>
      <w:r w:rsidR="00897B14">
        <w:rPr>
          <w:rFonts w:ascii="Calibri" w:hAnsi="Calibri" w:cs="Calibri"/>
          <w:i/>
          <w:sz w:val="20"/>
          <w:szCs w:val="20"/>
        </w:rPr>
        <w:t>Валицкая</w:t>
      </w:r>
      <w:proofErr w:type="spellEnd"/>
      <w:r w:rsidR="00897B14">
        <w:rPr>
          <w:rFonts w:ascii="Calibri" w:hAnsi="Calibri" w:cs="Calibri"/>
          <w:i/>
          <w:sz w:val="20"/>
          <w:szCs w:val="20"/>
        </w:rPr>
        <w:t xml:space="preserve"> Л.И</w:t>
      </w:r>
      <w:r w:rsidR="003B2916" w:rsidRPr="0081077A">
        <w:rPr>
          <w:rFonts w:ascii="Calibri" w:hAnsi="Calibri" w:cs="Calibri"/>
          <w:i/>
          <w:sz w:val="20"/>
          <w:szCs w:val="20"/>
        </w:rPr>
        <w:t>.</w:t>
      </w:r>
    </w:p>
    <w:p w:rsidR="003422E1" w:rsidRPr="0081077A" w:rsidRDefault="003422E1" w:rsidP="00B41D88">
      <w:pPr>
        <w:jc w:val="both"/>
        <w:rPr>
          <w:rFonts w:ascii="Calibri" w:hAnsi="Calibri" w:cs="Calibri"/>
          <w:sz w:val="10"/>
        </w:rPr>
      </w:pPr>
    </w:p>
    <w:p w:rsidR="00251649" w:rsidRPr="00E2293A" w:rsidRDefault="003422E1" w:rsidP="00251649">
      <w:pPr>
        <w:jc w:val="center"/>
        <w:rPr>
          <w:rFonts w:ascii="Calibri" w:hAnsi="Calibri" w:cs="Calibri"/>
          <w:sz w:val="22"/>
        </w:rPr>
      </w:pPr>
      <w:r w:rsidRPr="00E2293A">
        <w:rPr>
          <w:rFonts w:ascii="Calibri" w:hAnsi="Calibri" w:cs="Calibri"/>
          <w:sz w:val="22"/>
        </w:rPr>
        <w:t>Нам можно позвонить:</w:t>
      </w:r>
    </w:p>
    <w:p w:rsidR="00251649" w:rsidRPr="00E2293A" w:rsidRDefault="003422E1" w:rsidP="00251649">
      <w:pPr>
        <w:jc w:val="center"/>
        <w:rPr>
          <w:rFonts w:ascii="Calibri" w:hAnsi="Calibri" w:cs="Calibri"/>
          <w:b/>
          <w:i/>
          <w:sz w:val="22"/>
        </w:rPr>
      </w:pPr>
      <w:r w:rsidRPr="00E2293A">
        <w:rPr>
          <w:rFonts w:ascii="Calibri" w:hAnsi="Calibri" w:cs="Calibri"/>
          <w:b/>
          <w:i/>
          <w:sz w:val="22"/>
        </w:rPr>
        <w:t>8(01594)23-6-32, 24-1-72</w:t>
      </w:r>
    </w:p>
    <w:p w:rsidR="0081077A" w:rsidRDefault="003422E1" w:rsidP="0081077A">
      <w:pPr>
        <w:jc w:val="right"/>
        <w:rPr>
          <w:rFonts w:ascii="Calibri" w:hAnsi="Calibri" w:cs="Calibri"/>
          <w:b/>
          <w:szCs w:val="28"/>
        </w:rPr>
      </w:pPr>
      <w:r w:rsidRPr="00E2293A">
        <w:rPr>
          <w:rFonts w:ascii="Calibri" w:hAnsi="Calibri" w:cs="Calibri"/>
          <w:b/>
          <w:szCs w:val="28"/>
        </w:rPr>
        <w:t>Обращение может быть анонимным!</w:t>
      </w:r>
    </w:p>
    <w:p w:rsidR="0081077A" w:rsidRDefault="0081077A" w:rsidP="0081077A">
      <w:pPr>
        <w:jc w:val="right"/>
        <w:rPr>
          <w:rFonts w:ascii="Calibri" w:hAnsi="Calibri" w:cs="Calibri"/>
          <w:b/>
          <w:szCs w:val="28"/>
        </w:rPr>
      </w:pPr>
    </w:p>
    <w:p w:rsidR="0081077A" w:rsidRPr="00897B14" w:rsidRDefault="0081077A" w:rsidP="0081077A">
      <w:pPr>
        <w:jc w:val="right"/>
        <w:rPr>
          <w:rFonts w:ascii="Calibri" w:hAnsi="Calibri" w:cs="Calibri"/>
          <w:szCs w:val="28"/>
        </w:rPr>
      </w:pPr>
      <w:r w:rsidRPr="0081077A">
        <w:rPr>
          <w:rFonts w:ascii="Calibri" w:hAnsi="Calibri" w:cs="Calibri"/>
          <w:b/>
          <w:szCs w:val="28"/>
        </w:rPr>
        <w:t xml:space="preserve"> </w:t>
      </w:r>
      <w:r w:rsidRPr="0081077A">
        <w:rPr>
          <w:rFonts w:ascii="Calibri" w:hAnsi="Calibri" w:cs="Calibri"/>
          <w:szCs w:val="28"/>
        </w:rPr>
        <w:t>Разработал педагог-психолог</w:t>
      </w:r>
      <w:r w:rsidR="00897B14" w:rsidRPr="001E4A1D">
        <w:rPr>
          <w:rFonts w:ascii="Calibri" w:hAnsi="Calibri" w:cs="Calibri"/>
          <w:szCs w:val="28"/>
        </w:rPr>
        <w:t xml:space="preserve"> </w:t>
      </w:r>
      <w:r w:rsidR="00897B14">
        <w:rPr>
          <w:rFonts w:ascii="Calibri" w:hAnsi="Calibri" w:cs="Calibri"/>
          <w:szCs w:val="28"/>
        </w:rPr>
        <w:t>СПЦ</w:t>
      </w:r>
    </w:p>
    <w:p w:rsidR="003422E1" w:rsidRPr="00E2293A" w:rsidRDefault="003422E1" w:rsidP="00B41D88">
      <w:pPr>
        <w:jc w:val="center"/>
        <w:rPr>
          <w:rFonts w:ascii="Calibri" w:hAnsi="Calibri" w:cs="Calibri"/>
        </w:rPr>
      </w:pPr>
      <w:r w:rsidRPr="00E2293A">
        <w:rPr>
          <w:rFonts w:ascii="Calibri" w:hAnsi="Calibri" w:cs="Calibri"/>
        </w:rPr>
        <w:t>УО «Радунский государственный социально-педагогический центр Вороновского района»</w:t>
      </w:r>
    </w:p>
    <w:p w:rsidR="003422E1" w:rsidRPr="00E2293A" w:rsidRDefault="003422E1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422E1" w:rsidRPr="00E2293A" w:rsidRDefault="00926058" w:rsidP="00B41D88">
      <w:pPr>
        <w:jc w:val="center"/>
        <w:rPr>
          <w:rFonts w:ascii="Verdana" w:hAnsi="Verdana"/>
          <w:b/>
          <w:sz w:val="36"/>
          <w:szCs w:val="36"/>
        </w:rPr>
      </w:pPr>
      <w:r w:rsidRPr="00E2293A">
        <w:rPr>
          <w:rFonts w:ascii="Verdana" w:hAnsi="Verdana"/>
          <w:b/>
          <w:sz w:val="56"/>
          <w:szCs w:val="56"/>
        </w:rPr>
        <w:t>Родителям о подростковом суициде</w:t>
      </w: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1E4A1D" w:rsidRDefault="001E4A1D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  <w:r w:rsidRPr="00122F78">
        <w:rPr>
          <w:rFonts w:ascii="Calibri" w:hAnsi="Calibri" w:cs="Calibri"/>
        </w:rPr>
        <w:t xml:space="preserve"> 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 xml:space="preserve">- накопилось </w:t>
      </w:r>
      <w:r w:rsidR="00E2293A" w:rsidRPr="00122F78">
        <w:rPr>
          <w:rFonts w:ascii="Calibri" w:hAnsi="Calibri" w:cs="Calibri"/>
        </w:rPr>
        <w:t xml:space="preserve">        </w:t>
      </w:r>
      <w:r w:rsidRPr="00122F78">
        <w:rPr>
          <w:rFonts w:ascii="Calibri" w:hAnsi="Calibri" w:cs="Calibri"/>
        </w:rPr>
        <w:t xml:space="preserve">множество </w:t>
      </w:r>
      <w:r w:rsidR="00E2293A" w:rsidRPr="00122F78">
        <w:rPr>
          <w:rFonts w:ascii="Calibri" w:hAnsi="Calibri" w:cs="Calibri"/>
        </w:rPr>
        <w:t xml:space="preserve">      </w:t>
      </w:r>
      <w:r w:rsidRPr="00122F78">
        <w:rPr>
          <w:rFonts w:ascii="Calibri" w:hAnsi="Calibri" w:cs="Calibri"/>
        </w:rPr>
        <w:t>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попавшие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>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 xml:space="preserve">- не </w:t>
      </w:r>
      <w:r w:rsidR="00AE26FA" w:rsidRPr="00122F78">
        <w:rPr>
          <w:rFonts w:ascii="Calibri" w:hAnsi="Calibri" w:cs="Calibri"/>
          <w:sz w:val="22"/>
          <w:szCs w:val="20"/>
        </w:rPr>
        <w:t xml:space="preserve">  </w:t>
      </w:r>
      <w:r w:rsidRPr="00122F78">
        <w:rPr>
          <w:rFonts w:ascii="Calibri" w:hAnsi="Calibri" w:cs="Calibri"/>
          <w:sz w:val="22"/>
          <w:szCs w:val="20"/>
        </w:rPr>
        <w:t>бойтесь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прямо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спросить</w:t>
      </w:r>
      <w:r w:rsidR="00AE26FA" w:rsidRPr="00122F78">
        <w:rPr>
          <w:rFonts w:ascii="Calibri" w:hAnsi="Calibri" w:cs="Calibri"/>
          <w:sz w:val="22"/>
          <w:szCs w:val="20"/>
        </w:rPr>
        <w:t xml:space="preserve"> </w:t>
      </w:r>
      <w:r w:rsidRPr="00122F78">
        <w:rPr>
          <w:rFonts w:ascii="Calibri" w:hAnsi="Calibri" w:cs="Calibri"/>
          <w:sz w:val="22"/>
          <w:szCs w:val="20"/>
        </w:rPr>
        <w:t xml:space="preserve">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  <w:r w:rsidRPr="00C142D2">
        <w:rPr>
          <w:rFonts w:ascii="Cambria" w:hAnsi="Cambria" w:cs="Calibri"/>
          <w:szCs w:val="20"/>
        </w:rPr>
        <w:t xml:space="preserve"> 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9D"/>
    <w:rsid w:val="000179C9"/>
    <w:rsid w:val="000E5FF0"/>
    <w:rsid w:val="00122F78"/>
    <w:rsid w:val="001B2E01"/>
    <w:rsid w:val="001E4A1D"/>
    <w:rsid w:val="00245262"/>
    <w:rsid w:val="0025056B"/>
    <w:rsid w:val="00251649"/>
    <w:rsid w:val="002A2808"/>
    <w:rsid w:val="002C5174"/>
    <w:rsid w:val="003422E1"/>
    <w:rsid w:val="003B2916"/>
    <w:rsid w:val="004C6330"/>
    <w:rsid w:val="004E1567"/>
    <w:rsid w:val="00624513"/>
    <w:rsid w:val="00640294"/>
    <w:rsid w:val="00714CBE"/>
    <w:rsid w:val="0081077A"/>
    <w:rsid w:val="00897B14"/>
    <w:rsid w:val="00926058"/>
    <w:rsid w:val="009755FE"/>
    <w:rsid w:val="00AE26FA"/>
    <w:rsid w:val="00AE443E"/>
    <w:rsid w:val="00AF3A4C"/>
    <w:rsid w:val="00B41D88"/>
    <w:rsid w:val="00BD56A3"/>
    <w:rsid w:val="00BF1820"/>
    <w:rsid w:val="00C142D2"/>
    <w:rsid w:val="00C65393"/>
    <w:rsid w:val="00D17FAF"/>
    <w:rsid w:val="00E2293A"/>
    <w:rsid w:val="00ED439D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26EDBC-C3ED-497F-93C8-C7E270FB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Данута</cp:lastModifiedBy>
  <cp:revision>2</cp:revision>
  <cp:lastPrinted>2012-07-06T12:24:00Z</cp:lastPrinted>
  <dcterms:created xsi:type="dcterms:W3CDTF">2017-10-19T09:16:00Z</dcterms:created>
  <dcterms:modified xsi:type="dcterms:W3CDTF">2017-10-19T09:16:00Z</dcterms:modified>
</cp:coreProperties>
</file>