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E0" w:rsidRDefault="006E79E0" w:rsidP="00313A82">
      <w:pPr>
        <w:pStyle w:val="Referat-Body"/>
        <w:spacing w:line="240" w:lineRule="auto"/>
        <w:jc w:val="center"/>
        <w:rPr>
          <w:b/>
          <w:color w:val="17365D" w:themeColor="text2" w:themeShade="BF"/>
          <w:sz w:val="28"/>
          <w:szCs w:val="28"/>
        </w:rPr>
      </w:pPr>
      <w:r w:rsidRPr="006E79E0">
        <w:rPr>
          <w:b/>
          <w:color w:val="17365D" w:themeColor="text2" w:themeShade="BF"/>
          <w:sz w:val="28"/>
          <w:szCs w:val="28"/>
        </w:rPr>
        <w:t>Международные документы о правах ребёнка</w:t>
      </w:r>
    </w:p>
    <w:p w:rsidR="00FE59CB" w:rsidRPr="006E79E0" w:rsidRDefault="00FE59CB" w:rsidP="00313A82">
      <w:pPr>
        <w:pStyle w:val="Referat-Body"/>
        <w:spacing w:line="240" w:lineRule="auto"/>
        <w:jc w:val="center"/>
        <w:rPr>
          <w:b/>
          <w:color w:val="17365D" w:themeColor="text2" w:themeShade="BF"/>
          <w:sz w:val="28"/>
          <w:szCs w:val="28"/>
        </w:rPr>
      </w:pPr>
    </w:p>
    <w:p w:rsidR="004F7CFB" w:rsidRPr="006E79E0" w:rsidRDefault="004F7CFB" w:rsidP="00FE59CB">
      <w:pPr>
        <w:pStyle w:val="Referat-Body"/>
        <w:spacing w:line="240" w:lineRule="auto"/>
        <w:ind w:left="-57" w:right="57"/>
        <w:rPr>
          <w:color w:val="17365D" w:themeColor="text2" w:themeShade="BF"/>
          <w:sz w:val="28"/>
          <w:szCs w:val="28"/>
        </w:rPr>
      </w:pPr>
      <w:r w:rsidRPr="006E79E0">
        <w:rPr>
          <w:color w:val="17365D" w:themeColor="text2" w:themeShade="BF"/>
          <w:sz w:val="28"/>
          <w:szCs w:val="28"/>
        </w:rPr>
        <w:t>Благополучие детей и их права всегда вызывали пристальное внимание международного сообщества. Еще в 1924 году Лига Наций приняла Женевскую декларацию прав ребенка. В то время права детей рассматривались в основном в контексте мер, которые необходимо было принять в отношении рабства, детского труда, торговли детьми и проституции несовершеннолетних.</w:t>
      </w:r>
    </w:p>
    <w:p w:rsidR="004F7CFB" w:rsidRPr="006E79E0" w:rsidRDefault="004F7CFB" w:rsidP="00FE59CB">
      <w:pPr>
        <w:pStyle w:val="Referat-Body"/>
        <w:spacing w:line="240" w:lineRule="auto"/>
        <w:ind w:left="-57" w:right="57"/>
        <w:rPr>
          <w:color w:val="17365D" w:themeColor="text2" w:themeShade="BF"/>
          <w:sz w:val="28"/>
          <w:szCs w:val="28"/>
        </w:rPr>
      </w:pPr>
      <w:r w:rsidRPr="006E79E0">
        <w:rPr>
          <w:color w:val="17365D" w:themeColor="text2" w:themeShade="BF"/>
          <w:sz w:val="28"/>
          <w:szCs w:val="28"/>
        </w:rPr>
        <w:t>В 1959 году ООН принимает Декларацию прав ребенка, в которой были провозглашены социальные и правовые принципы, касающиеся защиты и благополучия детей.</w:t>
      </w:r>
    </w:p>
    <w:p w:rsidR="00313A82" w:rsidRDefault="004F7CFB" w:rsidP="00FE59CB">
      <w:pPr>
        <w:pStyle w:val="Referat-Body"/>
        <w:spacing w:line="240" w:lineRule="auto"/>
        <w:ind w:left="-57" w:right="57"/>
        <w:rPr>
          <w:color w:val="17365D" w:themeColor="text2" w:themeShade="BF"/>
          <w:sz w:val="28"/>
          <w:szCs w:val="28"/>
        </w:rPr>
      </w:pPr>
      <w:r w:rsidRPr="006E79E0">
        <w:rPr>
          <w:color w:val="17365D" w:themeColor="text2" w:themeShade="BF"/>
          <w:sz w:val="28"/>
          <w:szCs w:val="28"/>
        </w:rPr>
        <w:t>Однако время и положение детей – будущего всего человечества – потребовало от мирового сообщества принятия нового документа, в котором не просто декларировались права детей, но на основе юридических норм фиксировались меры защиты этих прав. В период с 1979-го по 1989 год Комиссия ООН по правам человека, в которой участвовали специалисты из многих стран мира, подготовила текст.</w:t>
      </w:r>
      <w:r w:rsidR="00313A82" w:rsidRPr="00313A82">
        <w:rPr>
          <w:b/>
          <w:bCs/>
          <w:color w:val="17365D" w:themeColor="text2" w:themeShade="BF"/>
          <w:sz w:val="28"/>
          <w:szCs w:val="28"/>
        </w:rPr>
        <w:t xml:space="preserve"> </w:t>
      </w:r>
      <w:r w:rsidR="00313A82" w:rsidRPr="006E79E0">
        <w:rPr>
          <w:b/>
          <w:bCs/>
          <w:color w:val="17365D" w:themeColor="text2" w:themeShade="BF"/>
          <w:sz w:val="28"/>
          <w:szCs w:val="28"/>
        </w:rPr>
        <w:t>Конвенции о правах ребенка</w:t>
      </w:r>
      <w:r w:rsidR="00313A82" w:rsidRPr="00313A82">
        <w:rPr>
          <w:color w:val="17365D" w:themeColor="text2" w:themeShade="BF"/>
          <w:sz w:val="28"/>
          <w:szCs w:val="28"/>
        </w:rPr>
        <w:t xml:space="preserve"> </w:t>
      </w:r>
    </w:p>
    <w:p w:rsidR="00FE59CB" w:rsidRDefault="00FE59CB" w:rsidP="00FE59CB">
      <w:pPr>
        <w:pStyle w:val="Referat-Body"/>
        <w:spacing w:line="240" w:lineRule="auto"/>
        <w:ind w:left="-57" w:right="57"/>
        <w:rPr>
          <w:color w:val="17365D" w:themeColor="text2" w:themeShade="BF"/>
          <w:sz w:val="28"/>
          <w:szCs w:val="28"/>
        </w:rPr>
      </w:pPr>
    </w:p>
    <w:p w:rsidR="00313A82" w:rsidRPr="006E79E0" w:rsidRDefault="00313A82" w:rsidP="00FE59CB">
      <w:pPr>
        <w:pStyle w:val="Referat-Body"/>
        <w:spacing w:line="240" w:lineRule="auto"/>
        <w:rPr>
          <w:color w:val="17365D" w:themeColor="text2" w:themeShade="BF"/>
          <w:sz w:val="28"/>
          <w:szCs w:val="28"/>
        </w:rPr>
      </w:pPr>
      <w:r w:rsidRPr="006E79E0">
        <w:rPr>
          <w:color w:val="17365D" w:themeColor="text2" w:themeShade="BF"/>
          <w:sz w:val="28"/>
          <w:szCs w:val="28"/>
        </w:rPr>
        <w:t>По сравнению с Декларацией (1959 г.), где было 10 коротких, носящих декларативный характер положений (принципов), Конвенция имеет 54 статьи, учитывающие практически все моменты, связанные с жизнью и положением ребенка в обществе</w:t>
      </w:r>
      <w:r w:rsidRPr="00313A82">
        <w:rPr>
          <w:noProof/>
          <w:color w:val="17365D" w:themeColor="text2" w:themeShade="BF"/>
          <w:sz w:val="28"/>
          <w:szCs w:val="28"/>
        </w:rPr>
        <w:drawing>
          <wp:anchor distT="0" distB="0" distL="114300" distR="114300" simplePos="0" relativeHeight="251665408" behindDoc="0" locked="0" layoutInCell="1" allowOverlap="1">
            <wp:simplePos x="0" y="0"/>
            <wp:positionH relativeFrom="column">
              <wp:align>left</wp:align>
            </wp:positionH>
            <wp:positionV relativeFrom="paragraph">
              <wp:align>top</wp:align>
            </wp:positionV>
            <wp:extent cx="2498961" cy="1754372"/>
            <wp:effectExtent l="19050" t="0" r="0" b="0"/>
            <wp:wrapSquare wrapText="bothSides"/>
            <wp:docPr id="7" name="Рисунок 1" descr="права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а ребенка"/>
                    <pic:cNvPicPr>
                      <a:picLocks noChangeAspect="1" noChangeArrowheads="1"/>
                    </pic:cNvPicPr>
                  </pic:nvPicPr>
                  <pic:blipFill>
                    <a:blip r:embed="rId7"/>
                    <a:srcRect/>
                    <a:stretch>
                      <a:fillRect/>
                    </a:stretch>
                  </pic:blipFill>
                  <pic:spPr bwMode="auto">
                    <a:xfrm>
                      <a:off x="0" y="0"/>
                      <a:ext cx="2498961" cy="1754372"/>
                    </a:xfrm>
                    <a:prstGeom prst="rect">
                      <a:avLst/>
                    </a:prstGeom>
                    <a:noFill/>
                    <a:ln w="9525">
                      <a:noFill/>
                      <a:miter lim="800000"/>
                      <a:headEnd/>
                      <a:tailEnd/>
                    </a:ln>
                  </pic:spPr>
                </pic:pic>
              </a:graphicData>
            </a:graphic>
          </wp:anchor>
        </w:drawing>
      </w:r>
    </w:p>
    <w:p w:rsidR="004F7CFB" w:rsidRPr="006E79E0" w:rsidRDefault="004F7CFB" w:rsidP="00313A82">
      <w:pPr>
        <w:pStyle w:val="Referat-Body"/>
        <w:spacing w:line="240" w:lineRule="auto"/>
        <w:rPr>
          <w:color w:val="17365D" w:themeColor="text2" w:themeShade="BF"/>
          <w:sz w:val="28"/>
          <w:szCs w:val="28"/>
        </w:rPr>
      </w:pPr>
      <w:r w:rsidRPr="006E79E0">
        <w:rPr>
          <w:color w:val="17365D" w:themeColor="text2" w:themeShade="BF"/>
          <w:sz w:val="28"/>
          <w:szCs w:val="28"/>
        </w:rPr>
        <w:t xml:space="preserve"> Она не только конкретизирует, но и развивает положения Декларации, возлагая на принявшие ее государства правовую ответственность за действия в отношении детей. Страны, ратифицировавшие Конвенцию или присоединившиеся к ней, должны пересмотреть свое национальное законодательство для обеспечения его соответствия положениям Конвенции ООН. “Конвенция о правах ребенка” была принята и открыта для подписания, ратификации и присоединения резолюцией 44/25 Генеральной Ассамблеи ООН от 20 ноября 1989 г. Вступила в силу 2 сентября 1990 г.</w:t>
      </w:r>
    </w:p>
    <w:p w:rsidR="004F7CFB" w:rsidRPr="006E79E0" w:rsidRDefault="004F7CFB" w:rsidP="00313A82">
      <w:pPr>
        <w:pStyle w:val="Referat-Body"/>
        <w:spacing w:line="240" w:lineRule="auto"/>
        <w:rPr>
          <w:color w:val="17365D" w:themeColor="text2" w:themeShade="BF"/>
          <w:sz w:val="28"/>
          <w:szCs w:val="28"/>
        </w:rPr>
      </w:pPr>
      <w:r w:rsidRPr="006E79E0">
        <w:rPr>
          <w:color w:val="17365D" w:themeColor="text2" w:themeShade="BF"/>
          <w:sz w:val="28"/>
          <w:szCs w:val="28"/>
        </w:rPr>
        <w:t>Ратифицирована Верховным Советом СССР 13 июля 1990 г. Вступила в силу для СССР 15 сентября 1990 г.</w:t>
      </w:r>
    </w:p>
    <w:p w:rsidR="004F7CFB" w:rsidRPr="006E79E0" w:rsidRDefault="004F7CFB" w:rsidP="00313A82">
      <w:pPr>
        <w:pStyle w:val="Referat-Body"/>
        <w:spacing w:line="240" w:lineRule="auto"/>
        <w:rPr>
          <w:color w:val="17365D" w:themeColor="text2" w:themeShade="BF"/>
          <w:sz w:val="28"/>
          <w:szCs w:val="28"/>
        </w:rPr>
      </w:pPr>
      <w:r w:rsidRPr="006E79E0">
        <w:rPr>
          <w:color w:val="17365D" w:themeColor="text2" w:themeShade="BF"/>
          <w:sz w:val="28"/>
          <w:szCs w:val="28"/>
        </w:rPr>
        <w:t xml:space="preserve">Другим документом является </w:t>
      </w:r>
      <w:r w:rsidRPr="006E79E0">
        <w:rPr>
          <w:b/>
          <w:bCs/>
          <w:color w:val="17365D" w:themeColor="text2" w:themeShade="BF"/>
          <w:sz w:val="28"/>
          <w:szCs w:val="28"/>
        </w:rPr>
        <w:t>“Декларация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r w:rsidRPr="006E79E0">
        <w:rPr>
          <w:color w:val="17365D" w:themeColor="text2" w:themeShade="BF"/>
          <w:sz w:val="28"/>
          <w:szCs w:val="28"/>
        </w:rPr>
        <w:t xml:space="preserve">, которая была принята </w:t>
      </w:r>
      <w:r w:rsidRPr="006E79E0">
        <w:rPr>
          <w:color w:val="17365D" w:themeColor="text2" w:themeShade="BF"/>
          <w:sz w:val="28"/>
          <w:szCs w:val="28"/>
        </w:rPr>
        <w:lastRenderedPageBreak/>
        <w:t>резолюцией 41/85 Генеральной Ассамблеи от 3 декабря 1986 года. В ней говорится:</w:t>
      </w:r>
    </w:p>
    <w:p w:rsidR="004F7CFB" w:rsidRPr="006E79E0" w:rsidRDefault="004F7CFB" w:rsidP="00313A82">
      <w:pPr>
        <w:pStyle w:val="Referat-Body"/>
        <w:spacing w:line="240" w:lineRule="auto"/>
        <w:rPr>
          <w:color w:val="17365D" w:themeColor="text2" w:themeShade="BF"/>
          <w:sz w:val="28"/>
          <w:szCs w:val="28"/>
        </w:rPr>
      </w:pPr>
      <w:r w:rsidRPr="006E79E0">
        <w:rPr>
          <w:color w:val="17365D" w:themeColor="text2" w:themeShade="BF"/>
          <w:sz w:val="28"/>
          <w:szCs w:val="28"/>
        </w:rPr>
        <w:t>“Генеральная Ассамблея, ссылаясь на Всеобщую декларацию прав человека, Международный пакт об экономических,</w:t>
      </w:r>
      <w:r w:rsidR="006E79E0">
        <w:rPr>
          <w:color w:val="17365D" w:themeColor="text2" w:themeShade="BF"/>
          <w:sz w:val="28"/>
          <w:szCs w:val="28"/>
        </w:rPr>
        <w:t xml:space="preserve"> социальных и культурных правах.</w:t>
      </w:r>
      <w:r w:rsidRPr="006E79E0">
        <w:rPr>
          <w:color w:val="17365D" w:themeColor="text2" w:themeShade="BF"/>
          <w:sz w:val="28"/>
          <w:szCs w:val="28"/>
        </w:rPr>
        <w:t xml:space="preserve"> Международный пакт о гражданских и политических правах, Международную конвенцию о ликвидации всех форм расовой дискриминации и Конвенцию о ликвидации всех форм дискриминации в отношении женщин, ссылаясь также на Декларацию прав ребенка, которую она провозгласила в своей резолюции 1386 (XIV) от 20 ноября 1959 года, вновь подтверждая принцип 6 этой Декларации, который предусматривает, что ребенок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будучи озабочена большим числом детей, оставленных родителями или ставших сиротами в результате насилия, внутренних беспорядков, вооруженных конфликтов, стихийных бедствий, экономических кризисов или социальных проблем, учитывая, что во всех процедурах передачи детей на воспитание или их усыновления первостепенное значение имеет наилучшее обеспечение интересов ребенка, признавая, что в основных правовых системах мира существуют различные общественно полезные альтернативные институты, такие, как кафала в мусульманском праве, которые предусматривают замену семенное заботы о тех детях, о которых не могут заботиться их собственные родители, признавая далее, что лишь в тех случаях, когда во внутреннем праве государства признан и регулируется какой-либо конкретный институт, будут применяться положения настоящей Декларации, касающиеся данного института, и что эти положения никоим образом не будут затрагивать существующие альтернативные институты в других правовых системах, сознавая необходимость провозглашения универсальных принципов, которые следует принимать во внимание в тех случаях, когда установлены процедуры, касающиеся передачи ребенка на воспитание или его усыновления на национальном или международном уровнях, учитывая, однако, что изложенные ниже принципы не налагают на государства обязательства по созданию таких правовых институтов, как передача на воспитание или усыновление” и провозгласила основные принципы, касающиеся:</w:t>
      </w:r>
    </w:p>
    <w:p w:rsidR="004F7CFB" w:rsidRPr="006E79E0" w:rsidRDefault="004F7CFB" w:rsidP="00313A82">
      <w:pPr>
        <w:pStyle w:val="Referat-Bullet"/>
        <w:spacing w:line="240" w:lineRule="auto"/>
        <w:rPr>
          <w:color w:val="17365D" w:themeColor="text2" w:themeShade="BF"/>
          <w:sz w:val="28"/>
          <w:szCs w:val="28"/>
        </w:rPr>
      </w:pPr>
      <w:r w:rsidRPr="006E79E0">
        <w:rPr>
          <w:color w:val="17365D" w:themeColor="text2" w:themeShade="BF"/>
          <w:sz w:val="28"/>
          <w:szCs w:val="28"/>
        </w:rPr>
        <w:t>общего благополучия семьи и ребенка;</w:t>
      </w:r>
    </w:p>
    <w:p w:rsidR="004F7CFB" w:rsidRPr="006E79E0" w:rsidRDefault="004F7CFB" w:rsidP="00313A82">
      <w:pPr>
        <w:pStyle w:val="Referat-Bullet"/>
        <w:spacing w:line="240" w:lineRule="auto"/>
        <w:rPr>
          <w:color w:val="17365D" w:themeColor="text2" w:themeShade="BF"/>
          <w:sz w:val="28"/>
          <w:szCs w:val="28"/>
        </w:rPr>
      </w:pPr>
      <w:r w:rsidRPr="006E79E0">
        <w:rPr>
          <w:color w:val="17365D" w:themeColor="text2" w:themeShade="BF"/>
          <w:sz w:val="28"/>
          <w:szCs w:val="28"/>
        </w:rPr>
        <w:t>передачи детей на воспитание;</w:t>
      </w:r>
    </w:p>
    <w:p w:rsidR="004F7CFB" w:rsidRPr="006E79E0" w:rsidRDefault="004F7CFB" w:rsidP="00313A82">
      <w:pPr>
        <w:pStyle w:val="Referat-Bullet"/>
        <w:spacing w:line="240" w:lineRule="auto"/>
        <w:rPr>
          <w:color w:val="17365D" w:themeColor="text2" w:themeShade="BF"/>
          <w:sz w:val="28"/>
          <w:szCs w:val="28"/>
        </w:rPr>
      </w:pPr>
      <w:r w:rsidRPr="006E79E0">
        <w:rPr>
          <w:color w:val="17365D" w:themeColor="text2" w:themeShade="BF"/>
          <w:sz w:val="28"/>
          <w:szCs w:val="28"/>
        </w:rPr>
        <w:t>усыновления.</w:t>
      </w:r>
    </w:p>
    <w:p w:rsidR="004F7CFB" w:rsidRDefault="004F7CFB" w:rsidP="00313A82">
      <w:pPr>
        <w:pStyle w:val="Referat-Body"/>
        <w:spacing w:line="240" w:lineRule="auto"/>
        <w:rPr>
          <w:color w:val="17365D" w:themeColor="text2" w:themeShade="BF"/>
          <w:sz w:val="28"/>
          <w:szCs w:val="28"/>
        </w:rPr>
      </w:pPr>
      <w:r w:rsidRPr="006E79E0">
        <w:rPr>
          <w:color w:val="17365D" w:themeColor="text2" w:themeShade="BF"/>
          <w:sz w:val="28"/>
          <w:szCs w:val="28"/>
        </w:rPr>
        <w:t xml:space="preserve">Частным документом, касающимся определенных аспектов проблем несовершеннолетних, является также Резолюция 45/112 “Руководящие принципы ООН для предупреждения преступности среди </w:t>
      </w:r>
      <w:r w:rsidRPr="006E79E0">
        <w:rPr>
          <w:color w:val="17365D" w:themeColor="text2" w:themeShade="BF"/>
          <w:sz w:val="28"/>
          <w:szCs w:val="28"/>
        </w:rPr>
        <w:lastRenderedPageBreak/>
        <w:t xml:space="preserve">несовершеннолетних”, принятая 14 декабря 1990 года. Это так называемые </w:t>
      </w:r>
      <w:r w:rsidRPr="006E79E0">
        <w:rPr>
          <w:b/>
          <w:bCs/>
          <w:color w:val="17365D" w:themeColor="text2" w:themeShade="BF"/>
          <w:sz w:val="28"/>
          <w:szCs w:val="28"/>
        </w:rPr>
        <w:t>“Эр-Риядские руководящие принципы”</w:t>
      </w:r>
      <w:r w:rsidRPr="006E79E0">
        <w:rPr>
          <w:color w:val="17365D" w:themeColor="text2" w:themeShade="BF"/>
          <w:sz w:val="28"/>
          <w:szCs w:val="28"/>
        </w:rPr>
        <w:t>:</w:t>
      </w:r>
    </w:p>
    <w:p w:rsidR="004F7CFB" w:rsidRPr="006E79E0" w:rsidRDefault="00E55E75" w:rsidP="00E55E75">
      <w:pPr>
        <w:pStyle w:val="Referat-Body"/>
        <w:spacing w:line="240" w:lineRule="auto"/>
        <w:ind w:firstLine="0"/>
        <w:rPr>
          <w:color w:val="17365D" w:themeColor="text2" w:themeShade="BF"/>
          <w:sz w:val="28"/>
          <w:szCs w:val="28"/>
        </w:rPr>
      </w:pPr>
      <w:r>
        <w:rPr>
          <w:color w:val="17365D" w:themeColor="text2" w:themeShade="BF"/>
          <w:sz w:val="28"/>
          <w:szCs w:val="28"/>
        </w:rPr>
        <w:t xml:space="preserve">1. </w:t>
      </w:r>
      <w:r w:rsidR="00FE59CB" w:rsidRPr="00FE59CB">
        <w:rPr>
          <w:color w:val="17365D" w:themeColor="text2" w:themeShade="BF"/>
          <w:sz w:val="28"/>
          <w:szCs w:val="28"/>
        </w:rPr>
        <w:t>Предупреждение преступности среди несовершеннолетних является важнейшим аспектом предупреждения преступности в обществе. Участвуя в законной, социально полезной деятельности и вырабатывая гуманистический взгляд на общество и жизнь, молодежь может быть воспитана на принципах, не допускающих преступную деятельность. Для того чтобы предупреждение преступности среди несовершеннолетних было эффективным, необходимы усилия всего общества в целом в целях обеспечения гармоничного развития подростков при уважении к их личности и поощрении ее развития с раннего детства</w:t>
      </w:r>
      <w:r w:rsidR="00313A82" w:rsidRPr="00313A82">
        <w:rPr>
          <w:noProof/>
          <w:color w:val="17365D" w:themeColor="text2" w:themeShade="BF"/>
          <w:sz w:val="28"/>
          <w:szCs w:val="28"/>
        </w:rPr>
        <w:drawing>
          <wp:anchor distT="0" distB="0" distL="114300" distR="114300" simplePos="0" relativeHeight="251666432" behindDoc="0" locked="0" layoutInCell="1" allowOverlap="1">
            <wp:simplePos x="0" y="0"/>
            <wp:positionH relativeFrom="column">
              <wp:align>right</wp:align>
            </wp:positionH>
            <wp:positionV relativeFrom="paragraph">
              <wp:align>top</wp:align>
            </wp:positionV>
            <wp:extent cx="2797308" cy="2488018"/>
            <wp:effectExtent l="19050" t="0" r="3042" b="0"/>
            <wp:wrapSquare wrapText="bothSides"/>
            <wp:docPr id="8" name="Рисунок 4"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06662_"/>
                    <pic:cNvPicPr>
                      <a:picLocks noChangeAspect="1" noChangeArrowheads="1"/>
                    </pic:cNvPicPr>
                  </pic:nvPicPr>
                  <pic:blipFill>
                    <a:blip r:embed="rId8"/>
                    <a:srcRect/>
                    <a:stretch>
                      <a:fillRect/>
                    </a:stretch>
                  </pic:blipFill>
                  <pic:spPr bwMode="auto">
                    <a:xfrm>
                      <a:off x="0" y="0"/>
                      <a:ext cx="2797308" cy="2488018"/>
                    </a:xfrm>
                    <a:prstGeom prst="rect">
                      <a:avLst/>
                    </a:prstGeom>
                    <a:noFill/>
                    <a:ln w="9525">
                      <a:noFill/>
                      <a:miter lim="800000"/>
                      <a:headEnd/>
                      <a:tailEnd/>
                    </a:ln>
                  </pic:spPr>
                </pic:pic>
              </a:graphicData>
            </a:graphic>
          </wp:anchor>
        </w:drawing>
      </w:r>
      <w:r w:rsidR="00FE59CB">
        <w:rPr>
          <w:color w:val="17365D" w:themeColor="text2" w:themeShade="BF"/>
          <w:sz w:val="28"/>
          <w:szCs w:val="28"/>
        </w:rPr>
        <w:br w:type="textWrapping" w:clear="all"/>
      </w:r>
      <w:r w:rsidR="004F7CFB" w:rsidRPr="006E79E0">
        <w:rPr>
          <w:color w:val="17365D" w:themeColor="text2" w:themeShade="BF"/>
          <w:sz w:val="28"/>
          <w:szCs w:val="28"/>
        </w:rPr>
        <w:t xml:space="preserve">Для целей толкования настоящих Руководящих принципов должна проводиться ориентация на нужды детей. Молодые люди должны играть активную роль в обществе и быть его полноценными участниками и не должны рассматриваться лишь как объекты для подготовки к жизни в обществе или контроля. </w:t>
      </w:r>
    </w:p>
    <w:p w:rsidR="004F7CFB" w:rsidRPr="006E79E0" w:rsidRDefault="00E55E75" w:rsidP="00E55E75">
      <w:pPr>
        <w:pStyle w:val="Referat-Body"/>
        <w:spacing w:line="240" w:lineRule="auto"/>
        <w:ind w:firstLine="0"/>
        <w:rPr>
          <w:color w:val="17365D" w:themeColor="text2" w:themeShade="BF"/>
          <w:sz w:val="28"/>
          <w:szCs w:val="28"/>
        </w:rPr>
      </w:pPr>
      <w:r>
        <w:rPr>
          <w:color w:val="17365D" w:themeColor="text2" w:themeShade="BF"/>
          <w:sz w:val="28"/>
          <w:szCs w:val="28"/>
        </w:rPr>
        <w:t xml:space="preserve">2.  </w:t>
      </w:r>
      <w:r w:rsidR="004F7CFB" w:rsidRPr="006E79E0">
        <w:rPr>
          <w:color w:val="17365D" w:themeColor="text2" w:themeShade="BF"/>
          <w:sz w:val="28"/>
          <w:szCs w:val="28"/>
        </w:rPr>
        <w:t xml:space="preserve">При осуществлении настоящих Руководящих принципов в соответствии с национальными правовыми системами в центре внимания любой программы предупреждения преступности должно быть обеспечение благосостояния молодежи с раннего детства. </w:t>
      </w:r>
    </w:p>
    <w:p w:rsidR="004F7CFB" w:rsidRPr="006E79E0" w:rsidRDefault="00E55E75" w:rsidP="00E55E75">
      <w:pPr>
        <w:pStyle w:val="Referat-Body"/>
        <w:spacing w:line="240" w:lineRule="auto"/>
        <w:ind w:firstLine="0"/>
        <w:rPr>
          <w:color w:val="17365D" w:themeColor="text2" w:themeShade="BF"/>
          <w:sz w:val="28"/>
          <w:szCs w:val="28"/>
        </w:rPr>
      </w:pPr>
      <w:r>
        <w:rPr>
          <w:color w:val="17365D" w:themeColor="text2" w:themeShade="BF"/>
          <w:sz w:val="28"/>
          <w:szCs w:val="28"/>
        </w:rPr>
        <w:t xml:space="preserve">3. </w:t>
      </w:r>
      <w:r w:rsidR="004F7CFB" w:rsidRPr="006E79E0">
        <w:rPr>
          <w:color w:val="17365D" w:themeColor="text2" w:themeShade="BF"/>
          <w:sz w:val="28"/>
          <w:szCs w:val="28"/>
        </w:rPr>
        <w:t xml:space="preserve">Следует признать необходимость и важность осуществления прогрессивной политики предупреждения преступности среди несовершеннолетних, а также необходимость и важность систематического изучения и выработки мер. При этом следует избегать криминализации и наказания ребенка за поведение, не причиняющее серьезного ущерба развитию самого ребенка или вреда другим. Такая политика и меры должны предусматривать: </w:t>
      </w:r>
    </w:p>
    <w:p w:rsidR="004F7CFB" w:rsidRPr="006E79E0" w:rsidRDefault="004F7CFB" w:rsidP="00313A82">
      <w:pPr>
        <w:pStyle w:val="Referat-Bullet"/>
        <w:spacing w:line="240" w:lineRule="auto"/>
        <w:rPr>
          <w:color w:val="17365D" w:themeColor="text2" w:themeShade="BF"/>
          <w:sz w:val="28"/>
          <w:szCs w:val="28"/>
        </w:rPr>
      </w:pPr>
      <w:r w:rsidRPr="006E79E0">
        <w:rPr>
          <w:color w:val="17365D" w:themeColor="text2" w:themeShade="BF"/>
          <w:sz w:val="28"/>
          <w:szCs w:val="28"/>
        </w:rPr>
        <w:t xml:space="preserve">обеспечение возможностей, в частности возможностей в области получения образования, для удовлетворения различных потребностей молодежи и создания системы поддержки, обеспечивающей развитие личности всех молодых людей, и особенно тех, кто явно находится под угрозой или в социально опасном положении и нуждается в особой заботе и защите; </w:t>
      </w:r>
    </w:p>
    <w:p w:rsidR="004F7CFB" w:rsidRPr="006E79E0" w:rsidRDefault="004F7CFB" w:rsidP="00313A82">
      <w:pPr>
        <w:pStyle w:val="Referat-Bullet"/>
        <w:spacing w:line="240" w:lineRule="auto"/>
        <w:rPr>
          <w:color w:val="17365D" w:themeColor="text2" w:themeShade="BF"/>
          <w:sz w:val="28"/>
          <w:szCs w:val="28"/>
        </w:rPr>
      </w:pPr>
      <w:r w:rsidRPr="006E79E0">
        <w:rPr>
          <w:color w:val="17365D" w:themeColor="text2" w:themeShade="BF"/>
          <w:sz w:val="28"/>
          <w:szCs w:val="28"/>
        </w:rPr>
        <w:lastRenderedPageBreak/>
        <w:t xml:space="preserve">специальные теории предупреждения преступности среди молодежи и подходы к этому вопросу, основанные на использовании законов, процессов, учреждений, средств и системы услуг, направленных на сокращение причин необходимости и возможности совершения правонарушений или ограничение условий, ведущих к этому; </w:t>
      </w:r>
    </w:p>
    <w:p w:rsidR="004F7CFB" w:rsidRPr="006E79E0" w:rsidRDefault="004F7CFB" w:rsidP="00313A82">
      <w:pPr>
        <w:pStyle w:val="Referat-Bullet"/>
        <w:spacing w:line="240" w:lineRule="auto"/>
        <w:rPr>
          <w:color w:val="17365D" w:themeColor="text2" w:themeShade="BF"/>
          <w:sz w:val="28"/>
          <w:szCs w:val="28"/>
        </w:rPr>
      </w:pPr>
      <w:r w:rsidRPr="006E79E0">
        <w:rPr>
          <w:color w:val="17365D" w:themeColor="text2" w:themeShade="BF"/>
          <w:sz w:val="28"/>
          <w:szCs w:val="28"/>
        </w:rPr>
        <w:t xml:space="preserve">вмешательство официальных органов, которое должно осуществляться, в первую очередь, с учетом общих интересов несовершеннолетнего и на основе беспристрастного и справедливого подхода; </w:t>
      </w:r>
    </w:p>
    <w:p w:rsidR="004F7CFB" w:rsidRPr="006E79E0" w:rsidRDefault="004F7CFB" w:rsidP="00313A82">
      <w:pPr>
        <w:pStyle w:val="Referat-Bullet"/>
        <w:spacing w:line="240" w:lineRule="auto"/>
        <w:rPr>
          <w:color w:val="17365D" w:themeColor="text2" w:themeShade="BF"/>
          <w:sz w:val="28"/>
          <w:szCs w:val="28"/>
        </w:rPr>
      </w:pPr>
      <w:r w:rsidRPr="006E79E0">
        <w:rPr>
          <w:color w:val="17365D" w:themeColor="text2" w:themeShade="BF"/>
          <w:sz w:val="28"/>
          <w:szCs w:val="28"/>
        </w:rPr>
        <w:t xml:space="preserve">обеспечение благополучия, развития, прав и интересов всех молодых людей; </w:t>
      </w:r>
    </w:p>
    <w:p w:rsidR="004F7CFB" w:rsidRPr="006E79E0" w:rsidRDefault="004F7CFB" w:rsidP="00313A82">
      <w:pPr>
        <w:pStyle w:val="Referat-Bullet"/>
        <w:spacing w:line="240" w:lineRule="auto"/>
        <w:rPr>
          <w:color w:val="17365D" w:themeColor="text2" w:themeShade="BF"/>
          <w:sz w:val="28"/>
          <w:szCs w:val="28"/>
        </w:rPr>
      </w:pPr>
      <w:r w:rsidRPr="006E79E0">
        <w:rPr>
          <w:color w:val="17365D" w:themeColor="text2" w:themeShade="BF"/>
          <w:sz w:val="28"/>
          <w:szCs w:val="28"/>
        </w:rPr>
        <w:t xml:space="preserve">учет того, что поступки молодых людей или поведение, которое не соответствует общим социальным нормам и ценностям, во многих случаях связаны с процессом взросления и роста и что, как правило, по мере взросления поведение большинства индивидов самопроизвольно изменяется, </w:t>
      </w:r>
    </w:p>
    <w:p w:rsidR="004F7CFB" w:rsidRPr="006E79E0" w:rsidRDefault="004F7CFB" w:rsidP="00313A82">
      <w:pPr>
        <w:pStyle w:val="Referat-Bullet"/>
        <w:spacing w:line="240" w:lineRule="auto"/>
        <w:rPr>
          <w:color w:val="17365D" w:themeColor="text2" w:themeShade="BF"/>
          <w:sz w:val="28"/>
          <w:szCs w:val="28"/>
        </w:rPr>
      </w:pPr>
      <w:r w:rsidRPr="006E79E0">
        <w:rPr>
          <w:color w:val="17365D" w:themeColor="text2" w:themeShade="BF"/>
          <w:sz w:val="28"/>
          <w:szCs w:val="28"/>
        </w:rPr>
        <w:t>осознание того, что, по преобладающему мнению экспертов, определение молодого человека как "нарушителя", "правонарушителя" или "начинающего правонарушителя" во многих случаях способствует развитию устойчивого стереотипа нежелательного поведения у молодых людей.</w:t>
      </w:r>
    </w:p>
    <w:p w:rsidR="004F7CFB" w:rsidRPr="006E79E0" w:rsidRDefault="00E55E75" w:rsidP="00E55E75">
      <w:pPr>
        <w:pStyle w:val="Referat-Body"/>
        <w:spacing w:line="240" w:lineRule="auto"/>
        <w:ind w:firstLine="0"/>
        <w:rPr>
          <w:color w:val="17365D" w:themeColor="text2" w:themeShade="BF"/>
          <w:sz w:val="28"/>
          <w:szCs w:val="28"/>
        </w:rPr>
      </w:pPr>
      <w:r>
        <w:rPr>
          <w:color w:val="17365D" w:themeColor="text2" w:themeShade="BF"/>
          <w:sz w:val="28"/>
          <w:szCs w:val="28"/>
        </w:rPr>
        <w:t xml:space="preserve">4. </w:t>
      </w:r>
      <w:r w:rsidR="004F7CFB" w:rsidRPr="006E79E0">
        <w:rPr>
          <w:color w:val="17365D" w:themeColor="text2" w:themeShade="BF"/>
          <w:sz w:val="28"/>
          <w:szCs w:val="28"/>
        </w:rPr>
        <w:t>Для предупреждения преступности среди несовершеннолетних, особенно в тех местах, где еще не создано никаких учреждений, необходимо разрабатывать общинные службы и программы. Официальные учреждения социального контроля должны использоваться лишь в крайних случаях.</w:t>
      </w:r>
    </w:p>
    <w:p w:rsidR="00B81A7F" w:rsidRPr="006E79E0" w:rsidRDefault="00313A82">
      <w:pPr>
        <w:rPr>
          <w:rFonts w:ascii="Times New Roman" w:hAnsi="Times New Roman" w:cs="Times New Roman"/>
          <w:color w:val="17365D" w:themeColor="text2" w:themeShade="BF"/>
          <w:sz w:val="28"/>
          <w:szCs w:val="28"/>
          <w:lang w:val="ru-RU"/>
        </w:rPr>
      </w:pPr>
      <w:r>
        <w:rPr>
          <w:noProof/>
          <w:sz w:val="24"/>
          <w:szCs w:val="24"/>
          <w:lang w:val="ru-RU" w:eastAsia="ru-RU"/>
        </w:rPr>
        <w:drawing>
          <wp:anchor distT="0" distB="0" distL="114300" distR="114300" simplePos="0" relativeHeight="251664384" behindDoc="0" locked="0" layoutInCell="1" allowOverlap="1">
            <wp:simplePos x="0" y="0"/>
            <wp:positionH relativeFrom="column">
              <wp:posOffset>7632065</wp:posOffset>
            </wp:positionH>
            <wp:positionV relativeFrom="paragraph">
              <wp:posOffset>3420110</wp:posOffset>
            </wp:positionV>
            <wp:extent cx="2663825" cy="1764030"/>
            <wp:effectExtent l="19050" t="0" r="3175" b="0"/>
            <wp:wrapNone/>
            <wp:docPr id="5" name="Рисунок 5" descr="права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ава ребенка"/>
                    <pic:cNvPicPr>
                      <a:picLocks noChangeAspect="1" noChangeArrowheads="1"/>
                    </pic:cNvPicPr>
                  </pic:nvPicPr>
                  <pic:blipFill>
                    <a:blip r:embed="rId7"/>
                    <a:srcRect/>
                    <a:stretch>
                      <a:fillRect/>
                    </a:stretch>
                  </pic:blipFill>
                  <pic:spPr bwMode="auto">
                    <a:xfrm>
                      <a:off x="0" y="0"/>
                      <a:ext cx="2663825" cy="1764030"/>
                    </a:xfrm>
                    <a:prstGeom prst="rect">
                      <a:avLst/>
                    </a:prstGeom>
                    <a:noFill/>
                  </pic:spPr>
                </pic:pic>
              </a:graphicData>
            </a:graphic>
          </wp:anchor>
        </w:drawing>
      </w:r>
      <w:r>
        <w:rPr>
          <w:noProof/>
          <w:sz w:val="24"/>
          <w:szCs w:val="24"/>
          <w:lang w:val="ru-RU" w:eastAsia="ru-RU"/>
        </w:rPr>
        <w:drawing>
          <wp:anchor distT="0" distB="0" distL="114300" distR="114300" simplePos="0" relativeHeight="251662336" behindDoc="0" locked="0" layoutInCell="1" allowOverlap="1">
            <wp:simplePos x="0" y="0"/>
            <wp:positionH relativeFrom="column">
              <wp:posOffset>7632065</wp:posOffset>
            </wp:positionH>
            <wp:positionV relativeFrom="paragraph">
              <wp:posOffset>3420110</wp:posOffset>
            </wp:positionV>
            <wp:extent cx="2663825" cy="1764030"/>
            <wp:effectExtent l="19050" t="0" r="3175" b="0"/>
            <wp:wrapNone/>
            <wp:docPr id="4" name="Рисунок 4" descr="права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ава ребенка"/>
                    <pic:cNvPicPr>
                      <a:picLocks noChangeAspect="1" noChangeArrowheads="1"/>
                    </pic:cNvPicPr>
                  </pic:nvPicPr>
                  <pic:blipFill>
                    <a:blip r:embed="rId7"/>
                    <a:srcRect/>
                    <a:stretch>
                      <a:fillRect/>
                    </a:stretch>
                  </pic:blipFill>
                  <pic:spPr bwMode="auto">
                    <a:xfrm>
                      <a:off x="0" y="0"/>
                      <a:ext cx="2663825" cy="1764030"/>
                    </a:xfrm>
                    <a:prstGeom prst="rect">
                      <a:avLst/>
                    </a:prstGeom>
                    <a:noFill/>
                  </pic:spPr>
                </pic:pic>
              </a:graphicData>
            </a:graphic>
          </wp:anchor>
        </w:drawing>
      </w:r>
      <w:r>
        <w:rPr>
          <w:noProof/>
          <w:sz w:val="24"/>
          <w:szCs w:val="24"/>
          <w:lang w:val="ru-RU" w:eastAsia="ru-RU"/>
        </w:rPr>
        <w:drawing>
          <wp:anchor distT="0" distB="0" distL="114300" distR="114300" simplePos="0" relativeHeight="251660288" behindDoc="0" locked="0" layoutInCell="1" allowOverlap="1">
            <wp:simplePos x="0" y="0"/>
            <wp:positionH relativeFrom="column">
              <wp:posOffset>7632065</wp:posOffset>
            </wp:positionH>
            <wp:positionV relativeFrom="paragraph">
              <wp:posOffset>3420110</wp:posOffset>
            </wp:positionV>
            <wp:extent cx="2663825" cy="1764030"/>
            <wp:effectExtent l="19050" t="0" r="3175" b="0"/>
            <wp:wrapNone/>
            <wp:docPr id="3" name="Рисунок 3" descr="права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а ребенка"/>
                    <pic:cNvPicPr>
                      <a:picLocks noChangeAspect="1" noChangeArrowheads="1"/>
                    </pic:cNvPicPr>
                  </pic:nvPicPr>
                  <pic:blipFill>
                    <a:blip r:embed="rId7"/>
                    <a:srcRect/>
                    <a:stretch>
                      <a:fillRect/>
                    </a:stretch>
                  </pic:blipFill>
                  <pic:spPr bwMode="auto">
                    <a:xfrm>
                      <a:off x="0" y="0"/>
                      <a:ext cx="2663825" cy="1764030"/>
                    </a:xfrm>
                    <a:prstGeom prst="rect">
                      <a:avLst/>
                    </a:prstGeom>
                    <a:noFill/>
                  </pic:spPr>
                </pic:pic>
              </a:graphicData>
            </a:graphic>
          </wp:anchor>
        </w:drawing>
      </w:r>
      <w:r>
        <w:rPr>
          <w:noProof/>
          <w:sz w:val="24"/>
          <w:szCs w:val="24"/>
          <w:lang w:val="ru-RU" w:eastAsia="ru-RU"/>
        </w:rPr>
        <w:drawing>
          <wp:anchor distT="0" distB="0" distL="114300" distR="114300" simplePos="0" relativeHeight="251658240" behindDoc="0" locked="0" layoutInCell="1" allowOverlap="1">
            <wp:simplePos x="0" y="0"/>
            <wp:positionH relativeFrom="column">
              <wp:posOffset>7632065</wp:posOffset>
            </wp:positionH>
            <wp:positionV relativeFrom="paragraph">
              <wp:posOffset>3420110</wp:posOffset>
            </wp:positionV>
            <wp:extent cx="2663825" cy="1764030"/>
            <wp:effectExtent l="19050" t="0" r="3175" b="0"/>
            <wp:wrapNone/>
            <wp:docPr id="2" name="Рисунок 2" descr="права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а ребенка"/>
                    <pic:cNvPicPr>
                      <a:picLocks noChangeAspect="1" noChangeArrowheads="1"/>
                    </pic:cNvPicPr>
                  </pic:nvPicPr>
                  <pic:blipFill>
                    <a:blip r:embed="rId7"/>
                    <a:srcRect/>
                    <a:stretch>
                      <a:fillRect/>
                    </a:stretch>
                  </pic:blipFill>
                  <pic:spPr bwMode="auto">
                    <a:xfrm>
                      <a:off x="0" y="0"/>
                      <a:ext cx="2663825" cy="1764030"/>
                    </a:xfrm>
                    <a:prstGeom prst="rect">
                      <a:avLst/>
                    </a:prstGeom>
                    <a:noFill/>
                  </pic:spPr>
                </pic:pic>
              </a:graphicData>
            </a:graphic>
          </wp:anchor>
        </w:drawing>
      </w:r>
    </w:p>
    <w:sectPr w:rsidR="00B81A7F" w:rsidRPr="006E79E0" w:rsidSect="00B81A7F">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D0D" w:rsidRDefault="00915D0D" w:rsidP="00313A82">
      <w:pPr>
        <w:spacing w:after="0" w:line="240" w:lineRule="auto"/>
      </w:pPr>
      <w:r>
        <w:separator/>
      </w:r>
    </w:p>
  </w:endnote>
  <w:endnote w:type="continuationSeparator" w:id="1">
    <w:p w:rsidR="00915D0D" w:rsidRDefault="00915D0D" w:rsidP="00313A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D0D" w:rsidRDefault="00915D0D" w:rsidP="00313A82">
      <w:pPr>
        <w:spacing w:after="0" w:line="240" w:lineRule="auto"/>
      </w:pPr>
      <w:r>
        <w:separator/>
      </w:r>
    </w:p>
  </w:footnote>
  <w:footnote w:type="continuationSeparator" w:id="1">
    <w:p w:rsidR="00915D0D" w:rsidRDefault="00915D0D" w:rsidP="00313A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82" w:rsidRDefault="00313A8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8744B"/>
    <w:multiLevelType w:val="multilevel"/>
    <w:tmpl w:val="8274306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4BEB4D0C"/>
    <w:multiLevelType w:val="singleLevel"/>
    <w:tmpl w:val="DC38C9FA"/>
    <w:lvl w:ilvl="0">
      <w:start w:val="1"/>
      <w:numFmt w:val="bullet"/>
      <w:pStyle w:val="Referat-Bullet"/>
      <w:lvlText w:val=""/>
      <w:lvlJc w:val="left"/>
      <w:pPr>
        <w:tabs>
          <w:tab w:val="num" w:pos="360"/>
        </w:tabs>
        <w:ind w:left="360" w:hanging="360"/>
      </w:pPr>
      <w:rPr>
        <w:rFonts w:ascii="Symbol" w:hAnsi="Symbol" w:cs="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141"/>
  <w:characterSpacingControl w:val="doNotCompress"/>
  <w:footnotePr>
    <w:footnote w:id="0"/>
    <w:footnote w:id="1"/>
  </w:footnotePr>
  <w:endnotePr>
    <w:endnote w:id="0"/>
    <w:endnote w:id="1"/>
  </w:endnotePr>
  <w:compat/>
  <w:rsids>
    <w:rsidRoot w:val="004F7CFB"/>
    <w:rsid w:val="00281BFB"/>
    <w:rsid w:val="002B04C8"/>
    <w:rsid w:val="00313A82"/>
    <w:rsid w:val="003C784A"/>
    <w:rsid w:val="004F7CFB"/>
    <w:rsid w:val="00611671"/>
    <w:rsid w:val="006E79E0"/>
    <w:rsid w:val="00915D0D"/>
    <w:rsid w:val="00974AB6"/>
    <w:rsid w:val="00B81A7F"/>
    <w:rsid w:val="00C81452"/>
    <w:rsid w:val="00D92BE8"/>
    <w:rsid w:val="00E55E75"/>
    <w:rsid w:val="00FE5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A7F"/>
  </w:style>
  <w:style w:type="paragraph" w:styleId="2">
    <w:name w:val="heading 2"/>
    <w:aliases w:val="h2"/>
    <w:basedOn w:val="a"/>
    <w:next w:val="a"/>
    <w:link w:val="20"/>
    <w:qFormat/>
    <w:rsid w:val="004F7CFB"/>
    <w:pPr>
      <w:keepNext/>
      <w:keepLines/>
      <w:pageBreakBefore/>
      <w:pBdr>
        <w:top w:val="single" w:sz="48" w:space="4" w:color="auto"/>
      </w:pBdr>
      <w:spacing w:before="120" w:after="120" w:line="240" w:lineRule="auto"/>
      <w:outlineLvl w:val="1"/>
    </w:pPr>
    <w:rPr>
      <w:rFonts w:ascii="Times New Roman" w:eastAsia="Times New Roman"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4F7CFB"/>
    <w:rPr>
      <w:rFonts w:ascii="Times New Roman" w:eastAsia="Times New Roman" w:hAnsi="Times New Roman" w:cs="Times New Roman"/>
      <w:b/>
      <w:bCs/>
      <w:sz w:val="28"/>
      <w:szCs w:val="28"/>
      <w:lang w:val="ru-RU" w:eastAsia="ru-RU"/>
    </w:rPr>
  </w:style>
  <w:style w:type="paragraph" w:customStyle="1" w:styleId="Referat-Body">
    <w:name w:val="Referat-Body"/>
    <w:basedOn w:val="a3"/>
    <w:rsid w:val="004F7CFB"/>
    <w:pPr>
      <w:spacing w:after="0" w:line="360" w:lineRule="auto"/>
      <w:ind w:firstLine="562"/>
      <w:jc w:val="both"/>
    </w:pPr>
    <w:rPr>
      <w:rFonts w:ascii="Times New Roman" w:eastAsia="Times New Roman" w:hAnsi="Times New Roman" w:cs="Times New Roman"/>
      <w:sz w:val="24"/>
      <w:szCs w:val="24"/>
      <w:lang w:val="ru-RU" w:eastAsia="ru-RU"/>
    </w:rPr>
  </w:style>
  <w:style w:type="paragraph" w:customStyle="1" w:styleId="Referat-Bullet">
    <w:name w:val="Referat-Bullet"/>
    <w:basedOn w:val="a"/>
    <w:rsid w:val="004F7CFB"/>
    <w:pPr>
      <w:keepLines/>
      <w:numPr>
        <w:numId w:val="1"/>
      </w:numPr>
      <w:tabs>
        <w:tab w:val="clear" w:pos="360"/>
        <w:tab w:val="num" w:pos="927"/>
        <w:tab w:val="num" w:pos="3240"/>
      </w:tabs>
      <w:spacing w:after="0" w:line="360" w:lineRule="auto"/>
      <w:ind w:left="918" w:hanging="357"/>
    </w:pPr>
    <w:rPr>
      <w:rFonts w:ascii="Times New Roman" w:eastAsia="Times New Roman" w:hAnsi="Times New Roman" w:cs="Times New Roman"/>
      <w:sz w:val="24"/>
      <w:szCs w:val="24"/>
      <w:lang w:val="ru-RU" w:eastAsia="ru-RU"/>
    </w:rPr>
  </w:style>
  <w:style w:type="paragraph" w:styleId="a3">
    <w:name w:val="Body Text"/>
    <w:basedOn w:val="a"/>
    <w:link w:val="a4"/>
    <w:uiPriority w:val="99"/>
    <w:semiHidden/>
    <w:unhideWhenUsed/>
    <w:rsid w:val="004F7CFB"/>
    <w:pPr>
      <w:spacing w:after="120"/>
    </w:pPr>
  </w:style>
  <w:style w:type="character" w:customStyle="1" w:styleId="a4">
    <w:name w:val="Основной текст Знак"/>
    <w:basedOn w:val="a0"/>
    <w:link w:val="a3"/>
    <w:uiPriority w:val="99"/>
    <w:semiHidden/>
    <w:rsid w:val="004F7CFB"/>
  </w:style>
  <w:style w:type="paragraph" w:styleId="a5">
    <w:name w:val="Balloon Text"/>
    <w:basedOn w:val="a"/>
    <w:link w:val="a6"/>
    <w:uiPriority w:val="99"/>
    <w:semiHidden/>
    <w:unhideWhenUsed/>
    <w:rsid w:val="00313A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3A82"/>
    <w:rPr>
      <w:rFonts w:ascii="Tahoma" w:hAnsi="Tahoma" w:cs="Tahoma"/>
      <w:sz w:val="16"/>
      <w:szCs w:val="16"/>
    </w:rPr>
  </w:style>
  <w:style w:type="paragraph" w:styleId="a7">
    <w:name w:val="header"/>
    <w:basedOn w:val="a"/>
    <w:link w:val="a8"/>
    <w:uiPriority w:val="99"/>
    <w:semiHidden/>
    <w:unhideWhenUsed/>
    <w:rsid w:val="00313A82"/>
    <w:pPr>
      <w:tabs>
        <w:tab w:val="center" w:pos="4536"/>
        <w:tab w:val="right" w:pos="9072"/>
      </w:tabs>
      <w:spacing w:after="0" w:line="240" w:lineRule="auto"/>
    </w:pPr>
  </w:style>
  <w:style w:type="character" w:customStyle="1" w:styleId="a8">
    <w:name w:val="Верхний колонтитул Знак"/>
    <w:basedOn w:val="a0"/>
    <w:link w:val="a7"/>
    <w:uiPriority w:val="99"/>
    <w:semiHidden/>
    <w:rsid w:val="00313A82"/>
  </w:style>
  <w:style w:type="paragraph" w:styleId="a9">
    <w:name w:val="footer"/>
    <w:basedOn w:val="a"/>
    <w:link w:val="aa"/>
    <w:uiPriority w:val="99"/>
    <w:semiHidden/>
    <w:unhideWhenUsed/>
    <w:rsid w:val="00313A82"/>
    <w:pPr>
      <w:tabs>
        <w:tab w:val="center" w:pos="4536"/>
        <w:tab w:val="right" w:pos="9072"/>
      </w:tabs>
      <w:spacing w:after="0" w:line="240" w:lineRule="auto"/>
    </w:pPr>
  </w:style>
  <w:style w:type="character" w:customStyle="1" w:styleId="aa">
    <w:name w:val="Нижний колонтитул Знак"/>
    <w:basedOn w:val="a0"/>
    <w:link w:val="a9"/>
    <w:uiPriority w:val="99"/>
    <w:semiHidden/>
    <w:rsid w:val="00313A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6680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Spektr</dc:creator>
  <cp:lastModifiedBy>HELEN</cp:lastModifiedBy>
  <cp:revision>2</cp:revision>
  <cp:lastPrinted>2014-02-21T13:15:00Z</cp:lastPrinted>
  <dcterms:created xsi:type="dcterms:W3CDTF">2014-06-11T11:12:00Z</dcterms:created>
  <dcterms:modified xsi:type="dcterms:W3CDTF">2014-06-11T11:12:00Z</dcterms:modified>
</cp:coreProperties>
</file>