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47" w:rsidRDefault="002A048C" w:rsidP="002A048C">
      <w:pPr>
        <w:spacing w:before="120" w:after="0" w:line="240" w:lineRule="auto"/>
        <w:ind w:right="-426"/>
        <w:jc w:val="center"/>
        <w:rPr>
          <w:rFonts w:ascii="Times New Roman" w:eastAsia="Gungsuh" w:hAnsi="Times New Roman" w:cs="Times New Roman"/>
          <w:b/>
          <w:color w:val="538135" w:themeColor="accent6" w:themeShade="BF"/>
          <w:sz w:val="32"/>
          <w:szCs w:val="32"/>
        </w:rPr>
      </w:pPr>
      <w:r w:rsidRPr="00054F20">
        <w:rPr>
          <w:rFonts w:ascii="Times New Roman" w:eastAsia="Gungsuh" w:hAnsi="Times New Roman" w:cs="Times New Roman"/>
          <w:b/>
          <w:color w:val="538135" w:themeColor="accent6" w:themeShade="BF"/>
          <w:sz w:val="32"/>
          <w:szCs w:val="32"/>
        </w:rPr>
        <w:t>10 ПРАВИЛ УРЕГУЛИРОВАНИЯ КОНФЛИКТА</w:t>
      </w:r>
    </w:p>
    <w:p w:rsidR="002A048C" w:rsidRPr="00A75762" w:rsidRDefault="002A048C" w:rsidP="002A048C">
      <w:pPr>
        <w:spacing w:before="120" w:after="0" w:line="240" w:lineRule="auto"/>
        <w:ind w:right="-426"/>
        <w:jc w:val="center"/>
        <w:rPr>
          <w:rFonts w:ascii="Times New Roman" w:eastAsia="Gungsuh" w:hAnsi="Times New Roman" w:cs="Times New Roman"/>
          <w:color w:val="002060"/>
          <w:sz w:val="32"/>
          <w:szCs w:val="32"/>
        </w:rPr>
      </w:pPr>
      <w:bookmarkStart w:id="0" w:name="_GoBack"/>
      <w:bookmarkEnd w:id="0"/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1.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Отказ от насилия.</w:t>
      </w:r>
      <w:r w:rsidRPr="002C6FBD">
        <w:rPr>
          <w:rFonts w:ascii="Times New Roman" w:eastAsia="SimSun" w:hAnsi="Times New Roman" w:cs="Times New Roman"/>
          <w:color w:val="00B0F0"/>
          <w:kern w:val="1"/>
          <w:sz w:val="30"/>
          <w:szCs w:val="30"/>
          <w:lang w:eastAsia="hi-IN" w:bidi="hi-IN"/>
        </w:rPr>
        <w:t xml:space="preserve"> 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Если существует угроза обострения конфликта или если он уже достиг большой остроты, тогда правило №1— объявить отказ от любых форм физиче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ского насилия или запугивания.</w:t>
      </w:r>
    </w:p>
    <w:p w:rsidR="00A60C05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2.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Смена точки зрения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 Возложение всей вины за конфликт на одну сторону чрезвычайно затрудняет любую попытку конструктивно подойти к его урегулированию. Если же считать конфликт общей проблемой сторон, тогда появляется возможность увидеть его в новом свете, взглянуть на него с другой точки зрения.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3.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Готовность к переговорам.</w:t>
      </w:r>
      <w:r w:rsidRPr="002C6FBD">
        <w:rPr>
          <w:rFonts w:ascii="Times New Roman" w:eastAsia="SimSun" w:hAnsi="Times New Roman" w:cs="Times New Roman"/>
          <w:color w:val="00B0F0"/>
          <w:kern w:val="1"/>
          <w:sz w:val="30"/>
          <w:szCs w:val="30"/>
          <w:lang w:eastAsia="hi-IN" w:bidi="hi-IN"/>
        </w:rPr>
        <w:t xml:space="preserve"> 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Без контактов с другими сторонами</w:t>
      </w:r>
      <w:r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конфликта пути ослабления его опасности остаются заблокированными. Переговоры помогают выявить главную причину конфликта, а также снижают вероятность невер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ного понимания слов и событий.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4.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Готовность к диалогу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 Диалог способствует тому, что противники начинают видеть друг в друге партнеров по конфликту. Благодаря этому у них появляется готовность вырабатывать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решение совместными усилиями.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5.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Посредничество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 Если даже диалог невозможен, ситуация далеко не безнадежна. В подобных случаях часто бывает полезно прибегнуть к п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осредничеству третьей стороны.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6.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Доверие.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Работа над урегулированием конфликта требует доверия. Поэтому следует избегать односторонних действий, а свои собственные шаги делать абсолютно п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розрачными и понятными другим.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7.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Правила честной игры.</w:t>
      </w:r>
      <w:r w:rsidRPr="002C6FBD">
        <w:rPr>
          <w:rFonts w:ascii="Times New Roman" w:eastAsia="SimSun" w:hAnsi="Times New Roman" w:cs="Times New Roman"/>
          <w:color w:val="00B0F0"/>
          <w:kern w:val="1"/>
          <w:sz w:val="30"/>
          <w:szCs w:val="30"/>
          <w:lang w:eastAsia="hi-IN" w:bidi="hi-IN"/>
        </w:rPr>
        <w:t xml:space="preserve"> 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Участникам урегулирования конфликта следует установить обязательные для всех правила касательно совместного взаимодействия и общения. Необходима полная уверенность в партнере: знание того, что партнеры ведут честную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игру, укрепляет доверие.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8.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Понимание другой стороны.</w:t>
      </w:r>
      <w:r w:rsidRPr="002C6FBD">
        <w:rPr>
          <w:rFonts w:ascii="Times New Roman" w:eastAsia="SimSun" w:hAnsi="Times New Roman" w:cs="Times New Roman"/>
          <w:color w:val="00B0F0"/>
          <w:kern w:val="1"/>
          <w:sz w:val="30"/>
          <w:szCs w:val="30"/>
          <w:lang w:eastAsia="hi-IN" w:bidi="hi-IN"/>
        </w:rPr>
        <w:t xml:space="preserve"> 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В процессе диалога или благодаря посредничеству можно прийти к пониманию точки зрения партнеров по конфликту, к осознанию испытываемого ими давления и стоящих за ними интересов, которые вынуждают их вести себя так, а не иначе, и учитывать все это в собственном поведении. В таком случае вырастает и собственная готовность взять на себя дол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ю ответственности за конфликт.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9.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Поиски общего.</w:t>
      </w:r>
      <w:r w:rsidRPr="002C6FBD">
        <w:rPr>
          <w:rFonts w:ascii="Times New Roman" w:eastAsia="SimSun" w:hAnsi="Times New Roman" w:cs="Times New Roman"/>
          <w:color w:val="00B0F0"/>
          <w:kern w:val="1"/>
          <w:sz w:val="30"/>
          <w:szCs w:val="30"/>
          <w:lang w:eastAsia="hi-IN" w:bidi="hi-IN"/>
        </w:rPr>
        <w:t xml:space="preserve"> 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Настрой на поиск сходств, а не различий между конфликтующими сторонами позволяет увидеть значительную общн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ость их убеждений и ценностей.</w:t>
      </w:r>
    </w:p>
    <w:p w:rsidR="002C6FBD" w:rsidRPr="003E6E1B" w:rsidRDefault="002C6FBD" w:rsidP="002C6FBD">
      <w:pPr>
        <w:widowControl w:val="0"/>
        <w:suppressLineNumbers/>
        <w:shd w:val="clear" w:color="auto" w:fill="FFFFFF"/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10. </w:t>
      </w:r>
      <w:r w:rsidRPr="002C6FBD">
        <w:rPr>
          <w:rFonts w:ascii="Times New Roman" w:eastAsia="SimSun" w:hAnsi="Times New Roman" w:cs="Times New Roman"/>
          <w:b/>
          <w:bCs/>
          <w:color w:val="00B0F0"/>
          <w:kern w:val="1"/>
          <w:sz w:val="30"/>
          <w:szCs w:val="30"/>
          <w:lang w:eastAsia="hi-IN" w:bidi="hi-IN"/>
        </w:rPr>
        <w:t>Баланс интересов и примирение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. Между конфликтующими сторонами развиваются новые отношения. В идеале находится решение, приемлемое 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–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по крайней мере, частично </w:t>
      </w:r>
      <w:r w:rsidR="00A60C0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–</w:t>
      </w:r>
      <w:r w:rsidRPr="003E6E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для обеих сторон, и их примирение становится возможным. </w:t>
      </w:r>
    </w:p>
    <w:p w:rsidR="007B3935" w:rsidRPr="00B07E72" w:rsidRDefault="007B3935" w:rsidP="002C6FBD">
      <w:pPr>
        <w:spacing w:after="0" w:line="240" w:lineRule="auto"/>
        <w:ind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</w:p>
    <w:sectPr w:rsidR="007B3935" w:rsidRPr="00B07E72" w:rsidSect="004E67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112B12"/>
    <w:rsid w:val="00054F20"/>
    <w:rsid w:val="00112B12"/>
    <w:rsid w:val="00176764"/>
    <w:rsid w:val="00181991"/>
    <w:rsid w:val="00281584"/>
    <w:rsid w:val="002A048C"/>
    <w:rsid w:val="002C6FBD"/>
    <w:rsid w:val="00316EDF"/>
    <w:rsid w:val="003E1CF0"/>
    <w:rsid w:val="004E6741"/>
    <w:rsid w:val="004F15B7"/>
    <w:rsid w:val="005049A9"/>
    <w:rsid w:val="005E2FBF"/>
    <w:rsid w:val="00654CF0"/>
    <w:rsid w:val="00734984"/>
    <w:rsid w:val="007B3935"/>
    <w:rsid w:val="00841721"/>
    <w:rsid w:val="00844BE7"/>
    <w:rsid w:val="009B0F1E"/>
    <w:rsid w:val="00A60C05"/>
    <w:rsid w:val="00A75762"/>
    <w:rsid w:val="00B07E72"/>
    <w:rsid w:val="00B3583E"/>
    <w:rsid w:val="00BA6129"/>
    <w:rsid w:val="00BF42F4"/>
    <w:rsid w:val="00C40147"/>
    <w:rsid w:val="00C90C7E"/>
    <w:rsid w:val="00CB5B08"/>
    <w:rsid w:val="00CE7B47"/>
    <w:rsid w:val="00EC0F64"/>
    <w:rsid w:val="00F10F30"/>
    <w:rsid w:val="00F20CB6"/>
    <w:rsid w:val="00FA6C59"/>
    <w:rsid w:val="00F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qwerty</cp:lastModifiedBy>
  <cp:revision>33</cp:revision>
  <dcterms:created xsi:type="dcterms:W3CDTF">2020-10-07T16:06:00Z</dcterms:created>
  <dcterms:modified xsi:type="dcterms:W3CDTF">2021-04-04T12:11:00Z</dcterms:modified>
</cp:coreProperties>
</file>