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C0" w:rsidRPr="003315C0" w:rsidRDefault="003315C0" w:rsidP="003315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С 1 января 2015 г. по 31 декабря 2024 г. установлена дополнительная мера государственной поддержки многодетных семей –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единовременное предоставление семьям безналичных денежных средств 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(семейный капитал)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 при рождении, усыновлении (удочерении) третьего или последующих детей.</w:t>
      </w:r>
    </w:p>
    <w:p w:rsidR="003315C0" w:rsidRPr="003315C0" w:rsidRDefault="003315C0" w:rsidP="003315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Размер семейного капитала составляет:</w:t>
      </w:r>
    </w:p>
    <w:p w:rsidR="003315C0" w:rsidRPr="003315C0" w:rsidRDefault="003315C0" w:rsidP="003315C0">
      <w:pPr>
        <w:numPr>
          <w:ilvl w:val="0"/>
          <w:numId w:val="1"/>
        </w:numPr>
        <w:shd w:val="clear" w:color="auto" w:fill="FFFFFF"/>
        <w:spacing w:before="168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при рождении, усыновлении (удочерении) третьего или последующих детей в период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с 1 января 2015 г. по 31 декабря 2019 г. – 10 000 долларов США </w:t>
      </w:r>
    </w:p>
    <w:p w:rsidR="003315C0" w:rsidRPr="003315C0" w:rsidRDefault="003315C0" w:rsidP="003315C0">
      <w:pPr>
        <w:numPr>
          <w:ilvl w:val="0"/>
          <w:numId w:val="1"/>
        </w:numPr>
        <w:shd w:val="clear" w:color="auto" w:fill="FFFFFF"/>
        <w:spacing w:before="168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при рождении, усыновлении (удочерении) третьего или последующих детей в период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с 1 января 2020 г. по 31 декабря 2020 г. – 22 500 белорусских рублей</w:t>
      </w:r>
    </w:p>
    <w:p w:rsidR="003315C0" w:rsidRPr="003315C0" w:rsidRDefault="003315C0" w:rsidP="003315C0">
      <w:pPr>
        <w:numPr>
          <w:ilvl w:val="0"/>
          <w:numId w:val="1"/>
        </w:numPr>
        <w:shd w:val="clear" w:color="auto" w:fill="FFFFFF"/>
        <w:spacing w:before="168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при рождении, усыновлении (удочерении) третьего или последующих детей в период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 с 1 января 2021 г. по 31 декабря 2021 г. – 23 737,5 рубля</w:t>
      </w:r>
    </w:p>
    <w:p w:rsidR="003315C0" w:rsidRPr="003315C0" w:rsidRDefault="003315C0" w:rsidP="003315C0">
      <w:pPr>
        <w:numPr>
          <w:ilvl w:val="0"/>
          <w:numId w:val="1"/>
        </w:numPr>
        <w:shd w:val="clear" w:color="auto" w:fill="FFFFFF"/>
        <w:spacing w:before="168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при рождении, усыновлении (удочерении) третьего или последующих детей в период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 с 1 января 2022 г. по 31 декабря 2022 г. – 25 995 рублей </w:t>
      </w:r>
    </w:p>
    <w:p w:rsidR="003315C0" w:rsidRPr="003315C0" w:rsidRDefault="003315C0" w:rsidP="003315C0">
      <w:pPr>
        <w:numPr>
          <w:ilvl w:val="0"/>
          <w:numId w:val="1"/>
        </w:numPr>
        <w:shd w:val="clear" w:color="auto" w:fill="FFFFFF"/>
        <w:spacing w:before="168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при рождении, усыновлении (удочерении) третьего или последующих детей в период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 с 1 января 2023 г. по 31 декабря 2023 г. – 29 950 рублей</w:t>
      </w:r>
    </w:p>
    <w:p w:rsidR="003315C0" w:rsidRPr="003315C0" w:rsidRDefault="003315C0" w:rsidP="003315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proofErr w:type="spellStart"/>
      <w:r w:rsidRPr="003315C0">
        <w:rPr>
          <w:rFonts w:ascii="Arial" w:eastAsia="Times New Roman" w:hAnsi="Arial" w:cs="Arial"/>
          <w:b/>
          <w:bCs/>
          <w:i/>
          <w:iCs/>
          <w:color w:val="121212"/>
          <w:sz w:val="30"/>
          <w:szCs w:val="30"/>
          <w:lang w:eastAsia="ru-RU"/>
        </w:rPr>
        <w:t>Справочно</w:t>
      </w:r>
      <w:proofErr w:type="spellEnd"/>
      <w:r w:rsidRPr="003315C0">
        <w:rPr>
          <w:rFonts w:ascii="Arial" w:eastAsia="Times New Roman" w:hAnsi="Arial" w:cs="Arial"/>
          <w:b/>
          <w:bCs/>
          <w:i/>
          <w:iCs/>
          <w:color w:val="121212"/>
          <w:sz w:val="30"/>
          <w:szCs w:val="30"/>
          <w:lang w:eastAsia="ru-RU"/>
        </w:rPr>
        <w:t>. </w:t>
      </w:r>
      <w:r w:rsidRPr="003315C0">
        <w:rPr>
          <w:rFonts w:ascii="Arial" w:eastAsia="Times New Roman" w:hAnsi="Arial" w:cs="Arial"/>
          <w:i/>
          <w:iCs/>
          <w:color w:val="121212"/>
          <w:sz w:val="30"/>
          <w:szCs w:val="30"/>
          <w:lang w:eastAsia="ru-RU"/>
        </w:rPr>
        <w:t>Предоставление семейного капитала производится в размере, действующем на дату рождения, в случае усыновления (удочерения) – на дату усыновления (удочерения) третьего или последующих детей (т.е. на день вступления в силу решения суда об усыновлении, удочерении).</w:t>
      </w:r>
    </w:p>
    <w:p w:rsidR="003315C0" w:rsidRPr="003315C0" w:rsidRDefault="003315C0" w:rsidP="003315C0">
      <w:pPr>
        <w:shd w:val="clear" w:color="auto" w:fill="F4F4F6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i/>
          <w:iCs/>
          <w:color w:val="121212"/>
          <w:sz w:val="30"/>
          <w:szCs w:val="30"/>
          <w:lang w:eastAsia="ru-RU"/>
        </w:rPr>
        <w:t>Начиная с 1 января 2021 г. в целях сохранения покупательной способности размер семейного капитала индексируется нарастающим итогом на величину индекса потребительских цен за предыдущий год, рассчитываемого Национальным статистическим комитетом.</w:t>
      </w:r>
    </w:p>
    <w:p w:rsidR="003315C0" w:rsidRPr="003315C0" w:rsidRDefault="003315C0" w:rsidP="003315C0">
      <w:pPr>
        <w:shd w:val="clear" w:color="auto" w:fill="F4F4F6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i/>
          <w:iCs/>
          <w:color w:val="121212"/>
          <w:sz w:val="30"/>
          <w:szCs w:val="30"/>
          <w:lang w:eastAsia="ru-RU"/>
        </w:rPr>
        <w:t>Новый размер семейного капитала действует в течение календарного года (с 1 января по 31 декабря) и размещается Министерством труда и социальной защиты на официальном сайте не позднее 31 января текущего года.</w:t>
      </w:r>
    </w:p>
    <w:p w:rsidR="003315C0" w:rsidRPr="003315C0" w:rsidRDefault="003315C0" w:rsidP="003315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proofErr w:type="gramStart"/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lastRenderedPageBreak/>
        <w:t>Право на назначение семейного капитала имеют граждане Республики Беларусь, постоянно проживающие в Республике Беларусь: мать (мачеха) в полной семье, родитель в неполной семье, усыновитель (</w:t>
      </w:r>
      <w:proofErr w:type="spellStart"/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удочеритель</w:t>
      </w:r>
      <w:proofErr w:type="spellEnd"/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) при рождении, усыновлении (удочерении) третьего или последующих детей в период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с 1 января 2015 г. по 31 декабря 2024 г.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 включительно, если с учетом родившегося, усыновленного (удочеренного) ребенка (детей) в семье воспитываются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не менее троих</w:t>
      </w:r>
      <w:proofErr w:type="gramEnd"/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 xml:space="preserve"> детей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 в возрасте до 18 лет. При этом дата рождения усыновленного (удочеренного) ребенка (детей) должна быть не ранее 1 января 2015 г.</w:t>
      </w:r>
    </w:p>
    <w:p w:rsidR="003315C0" w:rsidRPr="003315C0" w:rsidRDefault="003315C0" w:rsidP="003315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Если в полной семье мать (мачеха) не имеет права на назначение семейного капитала, такое право имеет отец (отчим).</w:t>
      </w:r>
    </w:p>
    <w:p w:rsidR="003315C0" w:rsidRPr="003315C0" w:rsidRDefault="003315C0" w:rsidP="003315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Условие наличия постоянной регистрации по месту проживания на территории республики также предъявляется и к детям, учитываемым в составе семьи при определении права на семейный капитал.</w:t>
      </w:r>
    </w:p>
    <w:p w:rsidR="003315C0" w:rsidRPr="003315C0" w:rsidRDefault="003315C0" w:rsidP="003315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За назначением семейного капитала следует обращаться в местные исполнительные и распорядительные органы в соответствии с регистрацией по месту жительства (месту пребывания)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в течение 6 месяцев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 со дня рождения, усыновления (удочерения) третьего или последующих детей.</w:t>
      </w:r>
    </w:p>
    <w:p w:rsidR="003315C0" w:rsidRPr="003315C0" w:rsidRDefault="003315C0" w:rsidP="003315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Средства семейного капитала</w:t>
      </w:r>
      <w:r w:rsidRPr="003315C0">
        <w:rPr>
          <w:rFonts w:ascii="Arial" w:eastAsia="Times New Roman" w:hAnsi="Arial" w:cs="Arial"/>
          <w:b/>
          <w:bCs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предоставляются семьям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для использования в Республике Беларусь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в полном объеме либо по частям в безналичном порядке в соответствии с законодательством по одному или нескольким направлениям: </w:t>
      </w:r>
    </w:p>
    <w:p w:rsidR="003315C0" w:rsidRPr="003315C0" w:rsidRDefault="003315C0" w:rsidP="003315C0">
      <w:pPr>
        <w:numPr>
          <w:ilvl w:val="0"/>
          <w:numId w:val="2"/>
        </w:numPr>
        <w:shd w:val="clear" w:color="auto" w:fill="FFFFFF"/>
        <w:spacing w:before="168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улучшение жилищных условий</w:t>
      </w:r>
    </w:p>
    <w:p w:rsidR="003315C0" w:rsidRPr="003315C0" w:rsidRDefault="003315C0" w:rsidP="003315C0">
      <w:pPr>
        <w:numPr>
          <w:ilvl w:val="0"/>
          <w:numId w:val="2"/>
        </w:numPr>
        <w:shd w:val="clear" w:color="auto" w:fill="FFFFFF"/>
        <w:spacing w:before="168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получение образования</w:t>
      </w:r>
    </w:p>
    <w:p w:rsidR="003315C0" w:rsidRPr="003315C0" w:rsidRDefault="003315C0" w:rsidP="003315C0">
      <w:pPr>
        <w:numPr>
          <w:ilvl w:val="0"/>
          <w:numId w:val="2"/>
        </w:numPr>
        <w:shd w:val="clear" w:color="auto" w:fill="FFFFFF"/>
        <w:spacing w:before="168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получение медицинской помощи</w:t>
      </w:r>
    </w:p>
    <w:p w:rsidR="003315C0" w:rsidRPr="003315C0" w:rsidRDefault="003315C0" w:rsidP="003315C0">
      <w:pPr>
        <w:numPr>
          <w:ilvl w:val="0"/>
          <w:numId w:val="2"/>
        </w:numPr>
        <w:shd w:val="clear" w:color="auto" w:fill="FFFFFF"/>
        <w:spacing w:before="168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приобретение товаров, предназначенных для социальной реабилитации и интеграции инвалидов в общество</w:t>
      </w:r>
    </w:p>
    <w:p w:rsidR="003315C0" w:rsidRPr="003315C0" w:rsidRDefault="003315C0" w:rsidP="003315C0">
      <w:pPr>
        <w:numPr>
          <w:ilvl w:val="0"/>
          <w:numId w:val="2"/>
        </w:numPr>
        <w:shd w:val="clear" w:color="auto" w:fill="FFFFFF"/>
        <w:spacing w:before="168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получение услуг в сфере социального обслуживания</w:t>
      </w:r>
    </w:p>
    <w:p w:rsidR="003315C0" w:rsidRPr="003315C0" w:rsidRDefault="003315C0" w:rsidP="003315C0">
      <w:pPr>
        <w:numPr>
          <w:ilvl w:val="0"/>
          <w:numId w:val="2"/>
        </w:numPr>
        <w:shd w:val="clear" w:color="auto" w:fill="FFFFFF"/>
        <w:spacing w:before="168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формирование накопительной (дополнительной) пенсии матери (мачехи) в полной семье, родителя в неполной семье, усыновителя (</w:t>
      </w:r>
      <w:proofErr w:type="spellStart"/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удочерителя</w:t>
      </w:r>
      <w:proofErr w:type="spellEnd"/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)</w:t>
      </w:r>
    </w:p>
    <w:p w:rsidR="003315C0" w:rsidRPr="003315C0" w:rsidRDefault="003315C0" w:rsidP="003315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lastRenderedPageBreak/>
        <w:t>Право на распоряжение средствами семейного капитала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предоставляется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 xml:space="preserve">по истечении 18 лет </w:t>
      </w:r>
      <w:proofErr w:type="gramStart"/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с даты рождения</w:t>
      </w:r>
      <w:proofErr w:type="gramEnd"/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 xml:space="preserve"> ребенка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, в связи с рождением, усыновлением (удочерением) которого семья приобрела право на назначение семейного капитала.</w:t>
      </w:r>
    </w:p>
    <w:p w:rsidR="003315C0" w:rsidRPr="003315C0" w:rsidRDefault="003315C0" w:rsidP="003315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Досрочно (независимо от времени, прошедшего с даты назначения семейного капитала)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 xml:space="preserve">средства семейного капитала могут быть использованы в полном объеме либо по частям в безналичном порядке </w:t>
      </w:r>
      <w:proofErr w:type="gramStart"/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на</w:t>
      </w:r>
      <w:proofErr w:type="gramEnd"/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:</w:t>
      </w:r>
    </w:p>
    <w:p w:rsidR="003315C0" w:rsidRPr="003315C0" w:rsidRDefault="003315C0" w:rsidP="003315C0">
      <w:pPr>
        <w:numPr>
          <w:ilvl w:val="0"/>
          <w:numId w:val="3"/>
        </w:numPr>
        <w:shd w:val="clear" w:color="auto" w:fill="FFFFFF"/>
        <w:spacing w:before="168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proofErr w:type="gramStart"/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строительство (реконструкцию)*, приобретение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одноквартирных жилых домов, квартир в многоквартирных или блокированных жилых домах,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приобретение доли (долей)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в праве собственности на них,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погашение задолженности по кредитам, займам организаций, предоставленным на указанные цели</w:t>
      </w:r>
      <w:r w:rsidRPr="003315C0">
        <w:rPr>
          <w:rFonts w:ascii="Arial" w:eastAsia="Times New Roman" w:hAnsi="Arial" w:cs="Arial"/>
          <w:b/>
          <w:bCs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(в том числе на основании договоров о переводе долга, о приеме задолженности по кредиту), и выплату процентов за пользование этими кредитами, займами членом (членами) семьи, состоящим (состоящими) на учете</w:t>
      </w:r>
      <w:proofErr w:type="gramEnd"/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 xml:space="preserve"> нуждающихся в улучшении жилищных условий либо </w:t>
      </w:r>
      <w:proofErr w:type="gramStart"/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состоявшим</w:t>
      </w:r>
      <w:proofErr w:type="gramEnd"/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 xml:space="preserve"> (состоявшими) на таком учете на дату заключения кредитного договора, договора займа;</w:t>
      </w:r>
    </w:p>
    <w:p w:rsidR="003315C0" w:rsidRPr="003315C0" w:rsidRDefault="003315C0" w:rsidP="003315C0">
      <w:pPr>
        <w:numPr>
          <w:ilvl w:val="0"/>
          <w:numId w:val="3"/>
        </w:numPr>
        <w:shd w:val="clear" w:color="auto" w:fill="FFFFFF"/>
        <w:spacing w:before="168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получение на платной основе членом (членами) семьи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высшего образования I ступени, среднего специального образования в государственных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Беларуси;</w:t>
      </w:r>
    </w:p>
    <w:p w:rsidR="003315C0" w:rsidRPr="003315C0" w:rsidRDefault="003315C0" w:rsidP="003315C0">
      <w:pPr>
        <w:numPr>
          <w:ilvl w:val="0"/>
          <w:numId w:val="3"/>
        </w:numPr>
        <w:shd w:val="clear" w:color="auto" w:fill="FFFFFF"/>
        <w:spacing w:before="168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получение членом (членами) семьи следующих платных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медицинских услуг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, оказываемых организациями здравоохранения:</w:t>
      </w:r>
    </w:p>
    <w:p w:rsidR="003315C0" w:rsidRPr="003315C0" w:rsidRDefault="003315C0" w:rsidP="003315C0">
      <w:pPr>
        <w:shd w:val="clear" w:color="auto" w:fill="F4F4F6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в кардиохирургии, нейрохирургии, онкологии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 xml:space="preserve">, </w:t>
      </w:r>
      <w:proofErr w:type="spellStart"/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ортопедиии</w:t>
      </w:r>
      <w:proofErr w:type="spellEnd"/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 xml:space="preserve"> (или) иных лекарственных средств вместо включенных в Республиканский формуляр лекарственных средств;</w:t>
      </w:r>
    </w:p>
    <w:p w:rsidR="003315C0" w:rsidRPr="003315C0" w:rsidRDefault="003315C0" w:rsidP="003315C0">
      <w:pPr>
        <w:shd w:val="clear" w:color="auto" w:fill="F4F4F6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lastRenderedPageBreak/>
        <w:t>стоматологические услуги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 xml:space="preserve"> (протезирование зубов, дентальная имплантация с последующим протезированием, </w:t>
      </w:r>
      <w:proofErr w:type="spellStart"/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ортодонтическая</w:t>
      </w:r>
      <w:proofErr w:type="spellEnd"/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 xml:space="preserve"> коррекция прикуса).</w:t>
      </w:r>
    </w:p>
    <w:p w:rsidR="003315C0" w:rsidRPr="003315C0" w:rsidRDefault="003315C0" w:rsidP="003315C0">
      <w:pPr>
        <w:numPr>
          <w:ilvl w:val="0"/>
          <w:numId w:val="4"/>
        </w:numPr>
        <w:shd w:val="clear" w:color="auto" w:fill="FFFFFF"/>
        <w:spacing w:before="168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приобретение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членом (членами) семьи либо члену (членам) семьи, которые являются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инвалидами, в том числе детьми-инвалидами в возрасте до 18 лет, с нарушениями органов зрения, опорно-двигательного аппарата, товаров, предназначенных для социальной реабилитации и интеграции инвалидов в общество.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 xml:space="preserve">Утвержден перечень таких товаров (например, за средства семейного капитала можно приобрести тактильные дисплеи компьютера (в том числе дисплеи Брайля, тактильные графические дисплеи), принтеры (графопостроители) Брайля, </w:t>
      </w:r>
      <w:proofErr w:type="spellStart"/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ассистивные</w:t>
      </w:r>
      <w:proofErr w:type="spellEnd"/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 xml:space="preserve"> устройства для подъема людей, функциональные кровати и съемные основания под матрац).</w:t>
      </w:r>
    </w:p>
    <w:p w:rsidR="003315C0" w:rsidRPr="003315C0" w:rsidRDefault="003315C0" w:rsidP="003315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При этом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НА УЛУЧШЕНИЕ ЖИЛИЩНЫХ УСЛОВИЙ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средства семейного капитала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 xml:space="preserve">могут быть использованы досрочно </w:t>
      </w:r>
      <w:proofErr w:type="gramStart"/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на</w:t>
      </w:r>
      <w:proofErr w:type="gramEnd"/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:</w:t>
      </w:r>
    </w:p>
    <w:p w:rsidR="003315C0" w:rsidRPr="003315C0" w:rsidRDefault="003315C0" w:rsidP="003315C0">
      <w:pPr>
        <w:numPr>
          <w:ilvl w:val="0"/>
          <w:numId w:val="5"/>
        </w:numPr>
        <w:shd w:val="clear" w:color="auto" w:fill="FFFFFF"/>
        <w:spacing w:before="168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proofErr w:type="gramStart"/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строительство (реконструкцию), приобретение жилых помещений, приобретение доли (долей) в праве собственности на них в любом населенном пункте независимо от общей площади жилого помещения, размера приобретаемой доли (долей) в праве собственности на него –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при добровольном волеизъявлении граждан и членов их семей на снятие с учета нуждающихся в улучшении жилищных условий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после государственной регистрации права собственности на жилое помещение, долю (доли) в</w:t>
      </w:r>
      <w:proofErr w:type="gramEnd"/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 xml:space="preserve"> </w:t>
      </w:r>
      <w:proofErr w:type="gramStart"/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праве</w:t>
      </w:r>
      <w:proofErr w:type="gramEnd"/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 xml:space="preserve"> собственности на него</w:t>
      </w:r>
    </w:p>
    <w:p w:rsidR="003315C0" w:rsidRPr="003315C0" w:rsidRDefault="003315C0" w:rsidP="003315C0">
      <w:pPr>
        <w:numPr>
          <w:ilvl w:val="0"/>
          <w:numId w:val="5"/>
        </w:numPr>
        <w:shd w:val="clear" w:color="auto" w:fill="FFFFFF"/>
        <w:spacing w:before="168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строительство (реконструкцию) жилого помещения в составе организации застройщиков либо на основании договора создания объекта долевого строительства –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если граждане в установленном порядке направлены на строительство (реконструкцию)</w:t>
      </w:r>
    </w:p>
    <w:p w:rsidR="003315C0" w:rsidRPr="003315C0" w:rsidRDefault="003315C0" w:rsidP="003315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u w:val="single"/>
          <w:lang w:eastAsia="ru-RU"/>
        </w:rPr>
        <w:t>приобретение:</w:t>
      </w:r>
    </w:p>
    <w:p w:rsidR="003315C0" w:rsidRPr="003315C0" w:rsidRDefault="003315C0" w:rsidP="003315C0">
      <w:pPr>
        <w:numPr>
          <w:ilvl w:val="0"/>
          <w:numId w:val="6"/>
        </w:numPr>
        <w:shd w:val="clear" w:color="auto" w:fill="FFFFFF"/>
        <w:spacing w:before="168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жилого помещения, доли (долей) в праве собственности на него –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в пределах их рыночной стоимости</w:t>
      </w:r>
    </w:p>
    <w:p w:rsidR="003315C0" w:rsidRPr="003315C0" w:rsidRDefault="003315C0" w:rsidP="003315C0">
      <w:pPr>
        <w:numPr>
          <w:ilvl w:val="0"/>
          <w:numId w:val="6"/>
        </w:numPr>
        <w:shd w:val="clear" w:color="auto" w:fill="FFFFFF"/>
        <w:spacing w:before="168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одноквартирных жилых домов, квартир в блокированных жилых домах, доли (долей) в праве собственности на них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 xml:space="preserve">– если такие жилые дома, квартиры не включены в реестры ветхих домов 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lastRenderedPageBreak/>
        <w:t>и реестры пустующих домов, с 1 января 2023 г. – в государственный информационный ресурс «Единый реестр пустующих домов»</w:t>
      </w:r>
    </w:p>
    <w:p w:rsidR="003315C0" w:rsidRPr="003315C0" w:rsidRDefault="003315C0" w:rsidP="003315C0">
      <w:pPr>
        <w:numPr>
          <w:ilvl w:val="0"/>
          <w:numId w:val="6"/>
        </w:numPr>
        <w:shd w:val="clear" w:color="auto" w:fill="FFFFFF"/>
        <w:spacing w:before="168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доли (долей) в праве собственности на жилое помещение –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если после приобретения указанной доли (долей) гражданин будет являться единственным собственником всего жилого помещения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(за исключением приобретения жилого помещения, строительство которого осуществлялось по государственному заказу)</w:t>
      </w:r>
    </w:p>
    <w:p w:rsidR="003315C0" w:rsidRPr="003315C0" w:rsidRDefault="003315C0" w:rsidP="003315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proofErr w:type="gramStart"/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При приобретении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с использованием средств семейного капитала жилых помещений, доли (долей) в праве собственности на них (в том числе погашении кредита, займа, предоставленных на приобретение жилого помещения, доли (долей) в праве собственности на него)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купля-продажа, мена, дарение, иные сделки по их отчуждению в течение 5 лет со дня государственной регистрации права собственности на эти жилые помещения, долю (доли) в праве</w:t>
      </w:r>
      <w:proofErr w:type="gramEnd"/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 xml:space="preserve"> собственности на них не допускаются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.</w:t>
      </w:r>
    </w:p>
    <w:p w:rsidR="003315C0" w:rsidRPr="003315C0" w:rsidRDefault="003315C0" w:rsidP="003315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В исключительных случая</w:t>
      </w:r>
      <w:proofErr w:type="gramStart"/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х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(</w:t>
      </w:r>
      <w:proofErr w:type="gramEnd"/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переезд в другую местность, расторжение брака, смерть собственника жилого помещения и другое) либо в случае улучшения жилищных условий собственником жилого помещения путем строительства (реконструкции) или приобретения другого жилого помещения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допускается отчуждение </w:t>
      </w:r>
      <w:r w:rsidRPr="003315C0">
        <w:rPr>
          <w:rFonts w:ascii="Arial" w:eastAsia="Times New Roman" w:hAnsi="Arial" w:cs="Arial"/>
          <w:color w:val="121212"/>
          <w:sz w:val="30"/>
          <w:szCs w:val="30"/>
          <w:lang w:eastAsia="ru-RU"/>
        </w:rPr>
        <w:t>жилых помещений, доли (долей) в праве собственности на них до истечения указанного 5-летнего срока</w:t>
      </w:r>
      <w:r w:rsidRPr="003315C0">
        <w:rPr>
          <w:rFonts w:ascii="Arial" w:eastAsia="Times New Roman" w:hAnsi="Arial" w:cs="Arial"/>
          <w:color w:val="121212"/>
          <w:sz w:val="30"/>
          <w:lang w:eastAsia="ru-RU"/>
        </w:rPr>
        <w:t> </w:t>
      </w:r>
      <w:r w:rsidRPr="003315C0">
        <w:rPr>
          <w:rFonts w:ascii="Arial" w:eastAsia="Times New Roman" w:hAnsi="Arial" w:cs="Arial"/>
          <w:b/>
          <w:bCs/>
          <w:color w:val="121212"/>
          <w:sz w:val="30"/>
          <w:szCs w:val="30"/>
          <w:lang w:eastAsia="ru-RU"/>
        </w:rPr>
        <w:t>с разрешения местного исполнительного и распорядительного органа по месту нахождения жилого помещения. </w:t>
      </w:r>
    </w:p>
    <w:p w:rsidR="00121998" w:rsidRDefault="00121998"/>
    <w:sectPr w:rsidR="00121998" w:rsidSect="0012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855CE"/>
    <w:multiLevelType w:val="multilevel"/>
    <w:tmpl w:val="FB64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7735D"/>
    <w:multiLevelType w:val="multilevel"/>
    <w:tmpl w:val="9D58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F08F7"/>
    <w:multiLevelType w:val="multilevel"/>
    <w:tmpl w:val="2800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015F7"/>
    <w:multiLevelType w:val="multilevel"/>
    <w:tmpl w:val="A450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B142D"/>
    <w:multiLevelType w:val="multilevel"/>
    <w:tmpl w:val="8C16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C2563"/>
    <w:multiLevelType w:val="multilevel"/>
    <w:tmpl w:val="EFF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15C0"/>
    <w:rsid w:val="00121998"/>
    <w:rsid w:val="001673B6"/>
    <w:rsid w:val="003315C0"/>
    <w:rsid w:val="00542E17"/>
    <w:rsid w:val="00A10C42"/>
    <w:rsid w:val="00AA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1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8789">
          <w:blockQuote w:val="1"/>
          <w:marLeft w:val="0"/>
          <w:marRight w:val="0"/>
          <w:marTop w:val="374"/>
          <w:marBottom w:val="374"/>
          <w:divBdr>
            <w:top w:val="none" w:sz="0" w:space="0" w:color="auto"/>
            <w:left w:val="single" w:sz="36" w:space="16" w:color="F7AA3B"/>
            <w:bottom w:val="none" w:sz="0" w:space="0" w:color="auto"/>
            <w:right w:val="none" w:sz="0" w:space="0" w:color="auto"/>
          </w:divBdr>
        </w:div>
        <w:div w:id="255096485">
          <w:blockQuote w:val="1"/>
          <w:marLeft w:val="0"/>
          <w:marRight w:val="0"/>
          <w:marTop w:val="374"/>
          <w:marBottom w:val="374"/>
          <w:divBdr>
            <w:top w:val="none" w:sz="0" w:space="0" w:color="auto"/>
            <w:left w:val="single" w:sz="36" w:space="16" w:color="F7AA3B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7274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2023-03-10T12:26:00Z</dcterms:created>
  <dcterms:modified xsi:type="dcterms:W3CDTF">2023-03-10T12:26:00Z</dcterms:modified>
</cp:coreProperties>
</file>