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В соответствии с </w:t>
      </w:r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Законом Республики Беларусь от 17 апреля 1992 г. «О пенсионном обеспечении» 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льготы в сфере пенсионного обеспечения по досрочному выходу на пенсию предоставлены женщинам, родившим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пять и более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детей: </w:t>
      </w:r>
    </w:p>
    <w:p w:rsidR="00445C96" w:rsidRPr="00445C96" w:rsidRDefault="00445C96" w:rsidP="00445C96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</w:t>
      </w:r>
    </w:p>
    <w:p w:rsidR="00445C96" w:rsidRPr="00445C96" w:rsidRDefault="00445C96" w:rsidP="00445C96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этом право на досрочную пенсию по возрасту женщины, родившие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пять и более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детей, имеют при наличии стажа не менее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5 лет страхового стажа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А на общих основаниях трудовая пенсия по возрасту и трудовая пенсия за выслугу лет назначаются при наличии в 2021 году не менее 18 лет стажа работы с уплатой обязательных страховых взносов. Указанный стаж повышается ежегодно на 6 месяцев до 20 лет (к 2025 году – 20 лет).</w:t>
      </w:r>
    </w:p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 01.01.2021 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трудовая пенсия по возрасту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женщинам, родившим четверых детей и воспитавшим их до 8-летнего возраста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, назначается по достижении общеустановленного пенсионного возраста и при наличии общего стажа работы не менее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20 лет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, в том числе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не менее 10 лет страхового стажа</w:t>
      </w:r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 (подпункт 1.2 пункта 1 Указа Президента Республики Беларусь от 18.05.2020 № 171 «О социальной поддержке отдельных категорий граждан»)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.</w:t>
      </w:r>
      <w:proofErr w:type="gramEnd"/>
    </w:p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spellStart"/>
      <w:r w:rsidRPr="00445C96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Справочно</w:t>
      </w:r>
      <w:proofErr w:type="spellEnd"/>
      <w:r w:rsidRPr="00445C96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: </w:t>
      </w:r>
      <w:proofErr w:type="gramStart"/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Для назначения трудовой пенсии по возрасту на общих основаниях требуется наличие </w:t>
      </w:r>
      <w:r w:rsidRPr="00445C96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страхового стажа</w:t>
      </w:r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: в 2021 году – не менее 18 лет; в 2022 году – не менее 18 лет 6 месяцев; в 2023 году – не менее 19 лет; в 2024 году – не менее 19 лет 6 месяцев;  в 2025 году – не менее 20 лет.</w:t>
      </w:r>
      <w:proofErr w:type="gramEnd"/>
    </w:p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lastRenderedPageBreak/>
        <w:t>С 01.01.2021в стаж работы для назначения трудовых пенсий засчитываются 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периоды отпуска по уходу за ребенком и ухода за детьми до достижения ими возраста 3 лет, но не более </w:t>
      </w:r>
      <w:r w:rsidRPr="00445C96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12 лет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в общей сложности (ранее засчитывалось не более 9 лет) </w:t>
      </w:r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(подпункт 1.1 пункта 1 Указа Президента Республики Беларусь от 18.05.2020 № 171 «О социальной поддержке отдельных категорий граждан»)</w:t>
      </w:r>
      <w:r w:rsidRPr="00445C96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.</w:t>
      </w:r>
      <w:proofErr w:type="gramEnd"/>
    </w:p>
    <w:p w:rsidR="00445C96" w:rsidRPr="00445C96" w:rsidRDefault="00445C96" w:rsidP="00445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spellStart"/>
      <w:r w:rsidRPr="00445C96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Справочно</w:t>
      </w:r>
      <w:proofErr w:type="spellEnd"/>
      <w:r w:rsidRPr="00445C96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. </w:t>
      </w:r>
      <w:r w:rsidRPr="00445C96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Для матерей, родивших четверо и более детей, периоды, когда они не работали в связи с уходом за малолетними детьми, засчитываются в общий стаж работы для назначения пенсии в пределах 12 лет. Норма Указа применяется не только при первичных назначениях пенсий женщинам, родившим четверых и более детей, но и к пенсиям, назначенным до 1 января 2021 года. Пенсии пересчитываются с учетом данной нормы с первого числа месяца, следующего за тем, в котором женщина обратится за перерасчетом пенсии в орган по труду, занятости и социальной защите.</w:t>
      </w:r>
    </w:p>
    <w:p w:rsidR="00121998" w:rsidRDefault="00121998"/>
    <w:sectPr w:rsidR="00121998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097F"/>
    <w:multiLevelType w:val="multilevel"/>
    <w:tmpl w:val="FD1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C96"/>
    <w:rsid w:val="00121998"/>
    <w:rsid w:val="001673B6"/>
    <w:rsid w:val="00445C96"/>
    <w:rsid w:val="00542E17"/>
    <w:rsid w:val="00A10C42"/>
    <w:rsid w:val="00AA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2023-03-10T12:33:00Z</dcterms:created>
  <dcterms:modified xsi:type="dcterms:W3CDTF">2023-03-10T12:33:00Z</dcterms:modified>
</cp:coreProperties>
</file>