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E7" w:rsidRDefault="00E95AE7" w:rsidP="00E95AE7">
      <w:pPr>
        <w:pStyle w:val="3"/>
        <w:shd w:val="clear" w:color="auto" w:fill="FFFFFF"/>
        <w:rPr>
          <w:rFonts w:ascii="Trebuchet MS" w:hAnsi="Trebuchet MS"/>
          <w:color w:val="333333"/>
        </w:rPr>
      </w:pPr>
      <w:r>
        <w:rPr>
          <w:rFonts w:ascii="Trebuchet MS" w:hAnsi="Trebuchet MS"/>
          <w:color w:val="333333"/>
        </w:rPr>
        <w:t>Кодекс Республики Беларусь о браке и семье.</w:t>
      </w:r>
    </w:p>
    <w:p w:rsidR="00E95AE7" w:rsidRDefault="00E95AE7" w:rsidP="00E95AE7">
      <w:pPr>
        <w:pStyle w:val="3"/>
        <w:shd w:val="clear" w:color="auto" w:fill="FFFFFF"/>
        <w:rPr>
          <w:rFonts w:ascii="Trebuchet MS" w:hAnsi="Trebuchet MS"/>
          <w:color w:val="333333"/>
        </w:rPr>
      </w:pPr>
      <w:r>
        <w:rPr>
          <w:rFonts w:ascii="Trebuchet MS" w:hAnsi="Trebuchet MS"/>
          <w:color w:val="333333"/>
        </w:rPr>
        <w:t>Глава 14 Опека и попечительство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142. Цели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143. Органы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Органами опеки и попечительства являются местные исполнительные и распорядительные органы.</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Осуществление функций по опеке и попечительству возлагается: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отношении несовершеннолетних – на управление (отдел)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по здравоохранению Минского городского исполнительного комитета.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144. Лица, над которыми устанавливается опека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В соответствии с Гражданским кодексом Республики Беларусь опека устанавливается </w:t>
      </w:r>
      <w:proofErr w:type="gramStart"/>
      <w:r>
        <w:rPr>
          <w:rFonts w:ascii="Trebuchet MS" w:hAnsi="Trebuchet MS"/>
          <w:color w:val="333333"/>
          <w:sz w:val="22"/>
          <w:szCs w:val="22"/>
        </w:rPr>
        <w:t>над</w:t>
      </w:r>
      <w:proofErr w:type="gramEnd"/>
      <w:r>
        <w:rPr>
          <w:rFonts w:ascii="Trebuchet MS" w:hAnsi="Trebuchet MS"/>
          <w:color w:val="333333"/>
          <w:sz w:val="22"/>
          <w:szCs w:val="22"/>
        </w:rPr>
        <w:t xml:space="preserve"> </w:t>
      </w:r>
      <w:proofErr w:type="gramStart"/>
      <w:r>
        <w:rPr>
          <w:rFonts w:ascii="Trebuchet MS" w:hAnsi="Trebuchet MS"/>
          <w:color w:val="333333"/>
          <w:sz w:val="22"/>
          <w:szCs w:val="22"/>
        </w:rPr>
        <w:t>малолетними</w:t>
      </w:r>
      <w:proofErr w:type="gramEnd"/>
      <w:r>
        <w:rPr>
          <w:rFonts w:ascii="Trebuchet MS" w:hAnsi="Trebuchet MS"/>
          <w:color w:val="333333"/>
          <w:sz w:val="22"/>
          <w:szCs w:val="22"/>
        </w:rPr>
        <w:t>, а также над лицами, признанными судом недееспособными вследствие психического расстройства (душевной болезни или слабоумия).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145. Лица, над которыми устанавливается попечительство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 вследствие злоупотребления спиртными напитками, наркотическими средствами либо психотропными веществами.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146. Органы, устанавливающие опеку и попечительство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147. Место установления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148. Установление опеки или попечительства над несовершеннолетним, родители которого уклоняются от его воспитания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В случаях, когда ребенок не проживает совместно с </w:t>
      </w:r>
      <w:proofErr w:type="gramStart"/>
      <w:r>
        <w:rPr>
          <w:rFonts w:ascii="Trebuchet MS" w:hAnsi="Trebuchet MS"/>
          <w:color w:val="333333"/>
          <w:sz w:val="22"/>
          <w:szCs w:val="22"/>
        </w:rPr>
        <w:t>родителями</w:t>
      </w:r>
      <w:proofErr w:type="gramEnd"/>
      <w:r>
        <w:rPr>
          <w:rFonts w:ascii="Trebuchet MS" w:hAnsi="Trebuchet MS"/>
          <w:color w:val="333333"/>
          <w:sz w:val="22"/>
          <w:szCs w:val="22"/>
        </w:rPr>
        <w:t xml:space="preserve">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149. Установление опеки или попечительства над несовершеннолетним при временном отсутствии родителей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150. Обязанность суда сообщать органам опеки и попечительства о необходимости установления опеки или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151. Назначение опекуна или попечителя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Для осуществления обязанностей по опеке или попечительству органы опеки и попечительства назначают опекуна или попечителя.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 или попечитель может быть назначен только с его согласия.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 или попечитель должен быть назначен не позднее месячного срока с момента, когда органам опеки и попечительства стало известно о необходимости установления опеки или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152. Выбор опекуна или попечителя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w:t>
      </w:r>
      <w:r>
        <w:rPr>
          <w:rFonts w:ascii="Trebuchet MS" w:hAnsi="Trebuchet MS"/>
          <w:color w:val="333333"/>
          <w:sz w:val="22"/>
          <w:szCs w:val="22"/>
        </w:rPr>
        <w:lastRenderedPageBreak/>
        <w:t>попечительстве, а также желание лица, нуждающегося в опеке или попечительстве, достигшего десяти лет.</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153. Лица, имеющие право быть опекунами и попечителями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Опекунами и попечителями могут быть дееспособные лица обоего пола, за исключением:</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больных хроническим алкоголизмом, наркоманией, токсикоманией;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которые по состоянию здоровья не могут осуществлять права и выполнять обязанности опекуна, попечителя;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лишенных судом родительских прав;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бывших усыновителей, если усыновление было отменено вследствие ненадлежащего выполнения усыновителем своих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отстраненных от обязанностей опекуна или попечителя за ненадлежащее выполнение возложенных на них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Перечень заболеваний, при наличии которых лица не могут быть опекунами и попечителями, устанавливается Министерством здравоохранения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 xml:space="preserve">Статья 154. </w:t>
      </w:r>
      <w:proofErr w:type="gramStart"/>
      <w:r>
        <w:rPr>
          <w:rFonts w:ascii="Trebuchet MS" w:hAnsi="Trebuchet MS"/>
          <w:b/>
          <w:bCs/>
          <w:i/>
          <w:iCs/>
          <w:color w:val="333333"/>
          <w:sz w:val="22"/>
          <w:szCs w:val="22"/>
        </w:rPr>
        <w:t>Контроль за</w:t>
      </w:r>
      <w:proofErr w:type="gramEnd"/>
      <w:r>
        <w:rPr>
          <w:rFonts w:ascii="Trebuchet MS" w:hAnsi="Trebuchet MS"/>
          <w:b/>
          <w:bCs/>
          <w:i/>
          <w:iCs/>
          <w:color w:val="333333"/>
          <w:sz w:val="22"/>
          <w:szCs w:val="22"/>
        </w:rPr>
        <w:t xml:space="preserve"> деятельностью опекунов и попечителей</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Контроль за</w:t>
      </w:r>
      <w:proofErr w:type="gramEnd"/>
      <w:r>
        <w:rPr>
          <w:rFonts w:ascii="Trebuchet MS" w:hAnsi="Trebuchet MS"/>
          <w:color w:val="333333"/>
          <w:sz w:val="22"/>
          <w:szCs w:val="22"/>
        </w:rPr>
        <w:t xml:space="preserve"> деятельностью опекунов и попечителей осуществляется органами опеки и попечительства по месту жительства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Органы опеки и попечительства обязаны проводить контрольные обследования условий жизни подопечных не реже двух раз в год.</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155. Опека над имуществом, находящимся не по месту жительства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156. Безвозмездность выполнения обязанностей опекунов и попечителей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Обязанности по опеке и попечительству выполняются безвозмездно.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признании подопечного </w:t>
      </w:r>
      <w:proofErr w:type="gramStart"/>
      <w:r>
        <w:rPr>
          <w:rFonts w:ascii="Trebuchet MS" w:hAnsi="Trebuchet MS"/>
          <w:color w:val="333333"/>
          <w:sz w:val="22"/>
          <w:szCs w:val="22"/>
        </w:rPr>
        <w:t>дееспособным</w:t>
      </w:r>
      <w:proofErr w:type="gramEnd"/>
      <w:r>
        <w:rPr>
          <w:rFonts w:ascii="Trebuchet MS" w:hAnsi="Trebuchet MS"/>
          <w:color w:val="333333"/>
          <w:sz w:val="22"/>
          <w:szCs w:val="22"/>
        </w:rPr>
        <w:t>.</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Обязанности, предусмотренные настоящей статьей, не возлагаются на попечителей над лицами, ограниченными судом в дееспособности.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158. Права и обязанности опекунов, попечителей по воспитанию несовершеннолетних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Граждане, назначенные опекунами, попечителями, обязаны проживать совместно со своими несовершеннолетними подопечными.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 перемене своего места проживания или места проживания подопечного опекуны, попечители обязаны извещать орган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lastRenderedPageBreak/>
        <w:t>Статья 159. Право опекунов, попечителей требовать возврата подопечных от лиц, удерживающих их у себя без законных оснований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вправе требовать возврата им подопечных от любых лиц, удерживающих их у себя без законных оснований.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Это право опекуны, попечители реализуют в порядке, предусмотренном статьей 79 настоящего Кодекса.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160. Гражданско-правовые обязанности опекунов, попечителей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являются законными представителями подопечных и совершают от их имени и в их интересах все необходимые сделки.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161. Сделки, для совершения которых требуется предварительное разрешение органов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162. Сделки, которые не вправе совершать опекун, попечитель, и последствия их совершения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Совершение договора дарения от имени подопечного малолетнего не разрешается.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lastRenderedPageBreak/>
        <w:t>Статья 163. Содержание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не обязаны содержать лиц, находящихся под их опекой, попечительством, за счет собственных средств.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Пособие на несовершеннолетних подопечных назначается на условиях и в порядке, предусмотренных законодательством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164. Распоряжение текущими доходами (поступлениями)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w:t>
      </w:r>
      <w:proofErr w:type="gramEnd"/>
      <w:r>
        <w:rPr>
          <w:rFonts w:ascii="Trebuchet MS" w:hAnsi="Trebuchet MS"/>
          <w:color w:val="333333"/>
          <w:sz w:val="22"/>
          <w:szCs w:val="22"/>
        </w:rPr>
        <w:t xml:space="preserve">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165. Управление имуществом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166. Обжалование действий опекунов, попечителей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167. Освобождение опекунов, попечителей от выполнения ими своих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Орган опеки и попечительства освобождает опекунов, попечителей от выполнения ими своих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усыновлении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при возвращении детей на воспитание родителям;</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по просьбе родителей, если опека, попечительство над детьми установлены по их ходатайству или с их согласия;</w:t>
      </w:r>
      <w:proofErr w:type="gramEnd"/>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при предоставлении детям государственного обеспечения в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учреждениях, учреждениях профессионально-технического, среднего специального, высшего образования;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в случае признания опекунов, попечителей </w:t>
      </w:r>
      <w:proofErr w:type="gramStart"/>
      <w:r>
        <w:rPr>
          <w:rFonts w:ascii="Trebuchet MS" w:hAnsi="Trebuchet MS"/>
          <w:color w:val="333333"/>
          <w:sz w:val="22"/>
          <w:szCs w:val="22"/>
        </w:rPr>
        <w:t>недееспособными</w:t>
      </w:r>
      <w:proofErr w:type="gramEnd"/>
      <w:r>
        <w:rPr>
          <w:rFonts w:ascii="Trebuchet MS" w:hAnsi="Trebuchet MS"/>
          <w:color w:val="333333"/>
          <w:sz w:val="22"/>
          <w:szCs w:val="22"/>
        </w:rPr>
        <w:t xml:space="preserve"> или ограниченно дееспособными;</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возникновении заболеваний, включенных в перечень, предусмотренный частью второй статьи 153 настоящего Кодекса;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помещении совершеннолетних подопечных в соответствующие учреждения.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168. Отстранение опекунов, попечителей в случае ненадлежащего выполнения ими своих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169. Опекуны, попечители детей-сирот, детей, оставшихся без попечения родителей, и совершеннолетних подопечных</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Опекунами, попечителями детей-сирот, детей, оставшихся без попечения родителей, находящихся на государственном обеспечении в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учреждениях, учреждениях профессионально-технического, среднего специального, высшего образования, а также совершеннолетних подопечных, помещенных в соответствующие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lastRenderedPageBreak/>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учреждений, осуществлявшие опеку, попечительство над такими детьми до поступления их в указанные учреждения образования.</w:t>
      </w:r>
      <w:proofErr w:type="gramEnd"/>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w:t>
      </w:r>
      <w:proofErr w:type="spellStart"/>
      <w:r>
        <w:rPr>
          <w:rFonts w:ascii="Trebuchet MS" w:hAnsi="Trebuchet MS"/>
          <w:color w:val="333333"/>
          <w:sz w:val="22"/>
          <w:szCs w:val="22"/>
        </w:rPr>
        <w:t>интернатное</w:t>
      </w:r>
      <w:proofErr w:type="spellEnd"/>
      <w:r>
        <w:rPr>
          <w:rFonts w:ascii="Trebuchet MS" w:hAnsi="Trebuchet MS"/>
          <w:color w:val="333333"/>
          <w:sz w:val="22"/>
          <w:szCs w:val="22"/>
        </w:rPr>
        <w:t xml:space="preserve"> учреждение не прекращает осуществление прав и выполнение обязанностей опекуна, попечителя в отношении этих детей.</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 xml:space="preserve">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учреждений, учреждений профессионально-технического, среднего специального, высшего образования до достижения ими совершеннолетия или приобретения</w:t>
      </w:r>
      <w:proofErr w:type="gramEnd"/>
      <w:r>
        <w:rPr>
          <w:rFonts w:ascii="Trebuchet MS" w:hAnsi="Trebuchet MS"/>
          <w:color w:val="333333"/>
          <w:sz w:val="22"/>
          <w:szCs w:val="22"/>
        </w:rPr>
        <w:t xml:space="preserve"> дееспособности в полном объеме.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170. Приемная семья, детский дом семейного типа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Положение о приемной семье и Положение о детском доме семейного типа утверждаются Правительством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171. Договор об условиях воспитания и содержания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roofErr w:type="gramEnd"/>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 xml:space="preserve">Договор об условиях воспитания и содержания </w:t>
      </w:r>
      <w:proofErr w:type="gramStart"/>
      <w:r>
        <w:rPr>
          <w:rFonts w:ascii="Trebuchet MS" w:hAnsi="Trebuchet MS"/>
          <w:color w:val="333333"/>
          <w:sz w:val="22"/>
          <w:szCs w:val="22"/>
        </w:rPr>
        <w:t>детей</w:t>
      </w:r>
      <w:proofErr w:type="gramEnd"/>
      <w:r>
        <w:rPr>
          <w:rFonts w:ascii="Trebuchet MS" w:hAnsi="Trebuchet MS"/>
          <w:color w:val="333333"/>
          <w:sz w:val="22"/>
          <w:szCs w:val="22"/>
        </w:rPr>
        <w:t xml:space="preserve">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статьей 168 настоящего Кодекса.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172. Приемные родители, родители-воспитатели детского дома семейного типа, детской деревни (городка)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больных хроническим алкоголизмом, наркоманией, токсикоманией;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лишенных родительских прав;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бывших усыновителей, если усыновление было отменено вследствие ненадлежащего выполнения усыновителем своих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отстраненных от обязанностей опекуна или попечителя за ненадлежащее выполнение возложенных на них обязанностей;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имеющих судимость, а также лиц, осуждавшихся за умышленные тяжкие или особо тяжкие преступления против человека;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w:t>
      </w:r>
      <w:r>
        <w:rPr>
          <w:rFonts w:ascii="Trebuchet MS" w:hAnsi="Trebuchet MS"/>
          <w:color w:val="333333"/>
          <w:sz w:val="22"/>
          <w:szCs w:val="22"/>
        </w:rPr>
        <w:lastRenderedPageBreak/>
        <w:t>родители-воспитатели детской деревни (городка) – в части, установленной договором об условиях воспитания и содержания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173. Передача детей на воспитание в приемную семью, детский дом семейного типа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174. Патронатное воспитание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Патронатное воспитание является формой участия граждан в воспитании детей-сирот, детей, оставшихся без попечения родителей, находящихся в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учреждениях, учреждениях профессионально-технического, среднего специального, высшего образования.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w:t>
      </w:r>
      <w:proofErr w:type="spellStart"/>
      <w:r>
        <w:rPr>
          <w:rFonts w:ascii="Trebuchet MS" w:hAnsi="Trebuchet MS"/>
          <w:color w:val="333333"/>
          <w:sz w:val="22"/>
          <w:szCs w:val="22"/>
        </w:rPr>
        <w:t>интернатных</w:t>
      </w:r>
      <w:proofErr w:type="spellEnd"/>
      <w:r>
        <w:rPr>
          <w:rFonts w:ascii="Trebuchet MS" w:hAnsi="Trebuchet MS"/>
          <w:color w:val="333333"/>
          <w:sz w:val="22"/>
          <w:szCs w:val="22"/>
        </w:rPr>
        <w:t xml:space="preserve"> учреждений, учреждений профессионально-технического, среднего специального, высшего образования.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E95AE7" w:rsidRDefault="00E95AE7" w:rsidP="00E95AE7">
      <w:pPr>
        <w:pStyle w:val="a3"/>
        <w:shd w:val="clear" w:color="auto" w:fill="FFFFFF"/>
        <w:rPr>
          <w:rFonts w:ascii="Trebuchet MS" w:hAnsi="Trebuchet MS"/>
          <w:color w:val="333333"/>
          <w:sz w:val="22"/>
          <w:szCs w:val="22"/>
        </w:rPr>
      </w:pPr>
      <w:proofErr w:type="gramStart"/>
      <w:r>
        <w:rPr>
          <w:rFonts w:ascii="Trebuchet MS" w:hAnsi="Trebuchet MS"/>
          <w:color w:val="333333"/>
          <w:sz w:val="22"/>
          <w:szCs w:val="22"/>
        </w:rPr>
        <w:t>Контроль за</w:t>
      </w:r>
      <w:proofErr w:type="gramEnd"/>
      <w:r>
        <w:rPr>
          <w:rFonts w:ascii="Trebuchet MS" w:hAnsi="Trebuchet MS"/>
          <w:color w:val="333333"/>
          <w:sz w:val="22"/>
          <w:szCs w:val="22"/>
        </w:rPr>
        <w:t xml:space="preserve">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w:t>
      </w:r>
      <w:proofErr w:type="spellStart"/>
      <w:r>
        <w:rPr>
          <w:rFonts w:ascii="Trebuchet MS" w:hAnsi="Trebuchet MS"/>
          <w:color w:val="333333"/>
          <w:sz w:val="22"/>
          <w:szCs w:val="22"/>
        </w:rPr>
        <w:t>интернатными</w:t>
      </w:r>
      <w:proofErr w:type="spellEnd"/>
      <w:r>
        <w:rPr>
          <w:rFonts w:ascii="Trebuchet MS" w:hAnsi="Trebuchet MS"/>
          <w:color w:val="333333"/>
          <w:sz w:val="22"/>
          <w:szCs w:val="22"/>
        </w:rPr>
        <w:t xml:space="preserve">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Положение о патронатном воспитании утверждается Правительством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175. Договор патронатного воспитания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Дети-сироты, дети, оставшиеся без попечения родителей, передаются на патронатное воспитание на основании договора патронатного воспитания.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Договор патронатного воспитания с патронатным воспитателем заключает руководитель детского </w:t>
      </w:r>
      <w:proofErr w:type="spellStart"/>
      <w:r>
        <w:rPr>
          <w:rFonts w:ascii="Trebuchet MS" w:hAnsi="Trebuchet MS"/>
          <w:color w:val="333333"/>
          <w:sz w:val="22"/>
          <w:szCs w:val="22"/>
        </w:rPr>
        <w:t>интернатного</w:t>
      </w:r>
      <w:proofErr w:type="spellEnd"/>
      <w:r>
        <w:rPr>
          <w:rFonts w:ascii="Trebuchet MS" w:hAnsi="Trebuchet MS"/>
          <w:color w:val="333333"/>
          <w:sz w:val="22"/>
          <w:szCs w:val="22"/>
        </w:rPr>
        <w:t xml:space="preserve">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w:t>
      </w:r>
      <w:proofErr w:type="spellStart"/>
      <w:r>
        <w:rPr>
          <w:rFonts w:ascii="Trebuchet MS" w:hAnsi="Trebuchet MS"/>
          <w:color w:val="333333"/>
          <w:sz w:val="22"/>
          <w:szCs w:val="22"/>
        </w:rPr>
        <w:t>интернатного</w:t>
      </w:r>
      <w:proofErr w:type="spellEnd"/>
      <w:r>
        <w:rPr>
          <w:rFonts w:ascii="Trebuchet MS" w:hAnsi="Trebuchet MS"/>
          <w:color w:val="333333"/>
          <w:sz w:val="22"/>
          <w:szCs w:val="22"/>
        </w:rPr>
        <w:t xml:space="preserve">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Договор патронатного </w:t>
      </w:r>
      <w:proofErr w:type="gramStart"/>
      <w:r>
        <w:rPr>
          <w:rFonts w:ascii="Trebuchet MS" w:hAnsi="Trebuchet MS"/>
          <w:color w:val="333333"/>
          <w:sz w:val="22"/>
          <w:szCs w:val="22"/>
        </w:rPr>
        <w:t>воспитания</w:t>
      </w:r>
      <w:proofErr w:type="gramEnd"/>
      <w:r>
        <w:rPr>
          <w:rFonts w:ascii="Trebuchet MS" w:hAnsi="Trebuchet MS"/>
          <w:color w:val="333333"/>
          <w:sz w:val="22"/>
          <w:szCs w:val="22"/>
        </w:rPr>
        <w:t xml:space="preserve"> может быть расторгнут досрочно по просьбе патронатного воспитателя, а также по инициативе руководителя детского </w:t>
      </w:r>
      <w:proofErr w:type="spellStart"/>
      <w:r>
        <w:rPr>
          <w:rFonts w:ascii="Trebuchet MS" w:hAnsi="Trebuchet MS"/>
          <w:color w:val="333333"/>
          <w:sz w:val="22"/>
          <w:szCs w:val="22"/>
        </w:rPr>
        <w:t>интернатного</w:t>
      </w:r>
      <w:proofErr w:type="spellEnd"/>
      <w:r>
        <w:rPr>
          <w:rFonts w:ascii="Trebuchet MS" w:hAnsi="Trebuchet MS"/>
          <w:color w:val="333333"/>
          <w:sz w:val="22"/>
          <w:szCs w:val="22"/>
        </w:rPr>
        <w:t xml:space="preserve">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176. Передача детей на патронатное воспитание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177. Права детей-сирот, детей, оставшихся без попечения родителей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 xml:space="preserve">Дети-сироты, дети, оставшиеся без попечения родителей, имеют право </w:t>
      </w:r>
      <w:proofErr w:type="gramStart"/>
      <w:r>
        <w:rPr>
          <w:rFonts w:ascii="Trebuchet MS" w:hAnsi="Trebuchet MS"/>
          <w:color w:val="333333"/>
          <w:sz w:val="22"/>
          <w:szCs w:val="22"/>
        </w:rPr>
        <w:t>на</w:t>
      </w:r>
      <w:proofErr w:type="gramEnd"/>
      <w:r>
        <w:rPr>
          <w:rFonts w:ascii="Trebuchet MS" w:hAnsi="Trebuchet MS"/>
          <w:color w:val="333333"/>
          <w:sz w:val="22"/>
          <w:szCs w:val="22"/>
        </w:rPr>
        <w:t>:</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устройство на воспитание в семью;</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уровень жизни и условия, необходимые для полноценного физического, умственного и духовного развития;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образование и развитие, соответствующие их возможностям и потребностям;</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уважение их человеческого достоинства, защиту прав и законных интересов;</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государственное обеспечение;</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устройство на воспитание совместно с братьями и сестрами, за исключением случаев, когда это не отвечает их интересам;</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lastRenderedPageBreak/>
        <w:t>общение с родителями, другими родственниками, за исключением случаев, когда такое общение не отвечает интересам детей.</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b/>
          <w:bCs/>
          <w:i/>
          <w:iCs/>
          <w:color w:val="333333"/>
          <w:sz w:val="22"/>
          <w:szCs w:val="22"/>
        </w:rPr>
        <w:t>Статья 178. Прекращение опеки, попечительства</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 достижении подопечным восемнадцати лет попечительство прекращается без особого на то решения.</w:t>
      </w:r>
    </w:p>
    <w:p w:rsidR="00E95AE7" w:rsidRDefault="00E95AE7" w:rsidP="00E95AE7">
      <w:pPr>
        <w:pStyle w:val="a3"/>
        <w:shd w:val="clear" w:color="auto" w:fill="FFFFFF"/>
        <w:rPr>
          <w:rFonts w:ascii="Trebuchet MS" w:hAnsi="Trebuchet MS"/>
          <w:color w:val="333333"/>
          <w:sz w:val="22"/>
          <w:szCs w:val="22"/>
        </w:rPr>
      </w:pPr>
      <w:r>
        <w:rPr>
          <w:rFonts w:ascii="Trebuchet MS" w:hAnsi="Trebuchet MS"/>
          <w:color w:val="333333"/>
          <w:sz w:val="22"/>
          <w:szCs w:val="22"/>
        </w:rPr>
        <w:t>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rsidR="00E95AE7" w:rsidRPr="00E95AE7" w:rsidRDefault="00E95AE7" w:rsidP="00E95AE7"/>
    <w:sectPr w:rsidR="00E95AE7" w:rsidRPr="00E95AE7" w:rsidSect="00316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95AE7"/>
    <w:rsid w:val="00316012"/>
    <w:rsid w:val="00E9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12"/>
  </w:style>
  <w:style w:type="paragraph" w:styleId="1">
    <w:name w:val="heading 1"/>
    <w:basedOn w:val="a"/>
    <w:link w:val="10"/>
    <w:uiPriority w:val="9"/>
    <w:qFormat/>
    <w:rsid w:val="00E95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95A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A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5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95AE7"/>
    <w:rPr>
      <w:i/>
      <w:iCs/>
    </w:rPr>
  </w:style>
  <w:style w:type="character" w:styleId="a5">
    <w:name w:val="Strong"/>
    <w:basedOn w:val="a0"/>
    <w:uiPriority w:val="22"/>
    <w:qFormat/>
    <w:rsid w:val="00E95AE7"/>
    <w:rPr>
      <w:b/>
      <w:bCs/>
    </w:rPr>
  </w:style>
  <w:style w:type="character" w:customStyle="1" w:styleId="30">
    <w:name w:val="Заголовок 3 Знак"/>
    <w:basedOn w:val="a0"/>
    <w:link w:val="3"/>
    <w:uiPriority w:val="9"/>
    <w:semiHidden/>
    <w:rsid w:val="00E95AE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8453926">
      <w:bodyDiv w:val="1"/>
      <w:marLeft w:val="0"/>
      <w:marRight w:val="0"/>
      <w:marTop w:val="0"/>
      <w:marBottom w:val="0"/>
      <w:divBdr>
        <w:top w:val="none" w:sz="0" w:space="0" w:color="auto"/>
        <w:left w:val="none" w:sz="0" w:space="0" w:color="auto"/>
        <w:bottom w:val="none" w:sz="0" w:space="0" w:color="auto"/>
        <w:right w:val="none" w:sz="0" w:space="0" w:color="auto"/>
      </w:divBdr>
    </w:div>
    <w:div w:id="1883516557">
      <w:bodyDiv w:val="1"/>
      <w:marLeft w:val="0"/>
      <w:marRight w:val="0"/>
      <w:marTop w:val="0"/>
      <w:marBottom w:val="0"/>
      <w:divBdr>
        <w:top w:val="none" w:sz="0" w:space="0" w:color="auto"/>
        <w:left w:val="none" w:sz="0" w:space="0" w:color="auto"/>
        <w:bottom w:val="none" w:sz="0" w:space="0" w:color="auto"/>
        <w:right w:val="none" w:sz="0" w:space="0" w:color="auto"/>
      </w:divBdr>
    </w:div>
    <w:div w:id="1898080517">
      <w:bodyDiv w:val="1"/>
      <w:marLeft w:val="0"/>
      <w:marRight w:val="0"/>
      <w:marTop w:val="0"/>
      <w:marBottom w:val="0"/>
      <w:divBdr>
        <w:top w:val="none" w:sz="0" w:space="0" w:color="auto"/>
        <w:left w:val="none" w:sz="0" w:space="0" w:color="auto"/>
        <w:bottom w:val="none" w:sz="0" w:space="0" w:color="auto"/>
        <w:right w:val="none" w:sz="0" w:space="0" w:color="auto"/>
      </w:divBdr>
      <w:divsChild>
        <w:div w:id="344674471">
          <w:marLeft w:val="0"/>
          <w:marRight w:val="0"/>
          <w:marTop w:val="0"/>
          <w:marBottom w:val="0"/>
          <w:divBdr>
            <w:top w:val="none" w:sz="0" w:space="0" w:color="auto"/>
            <w:left w:val="none" w:sz="0" w:space="0" w:color="auto"/>
            <w:bottom w:val="none" w:sz="0" w:space="0" w:color="auto"/>
            <w:right w:val="none" w:sz="0" w:space="0" w:color="auto"/>
          </w:divBdr>
          <w:divsChild>
            <w:div w:id="1156260366">
              <w:marLeft w:val="0"/>
              <w:marRight w:val="0"/>
              <w:marTop w:val="0"/>
              <w:marBottom w:val="0"/>
              <w:divBdr>
                <w:top w:val="none" w:sz="0" w:space="0" w:color="auto"/>
                <w:left w:val="none" w:sz="0" w:space="0" w:color="auto"/>
                <w:bottom w:val="none" w:sz="0" w:space="0" w:color="auto"/>
                <w:right w:val="none" w:sz="0" w:space="0" w:color="auto"/>
              </w:divBdr>
            </w:div>
          </w:divsChild>
        </w:div>
        <w:div w:id="208955599">
          <w:marLeft w:val="0"/>
          <w:marRight w:val="0"/>
          <w:marTop w:val="235"/>
          <w:marBottom w:val="0"/>
          <w:divBdr>
            <w:top w:val="none" w:sz="0" w:space="0" w:color="auto"/>
            <w:left w:val="none" w:sz="0" w:space="0" w:color="auto"/>
            <w:bottom w:val="none" w:sz="0" w:space="0" w:color="auto"/>
            <w:right w:val="none" w:sz="0" w:space="0" w:color="auto"/>
          </w:divBdr>
          <w:divsChild>
            <w:div w:id="783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4520</Words>
  <Characters>25767</Characters>
  <Application>Microsoft Office Word</Application>
  <DocSecurity>0</DocSecurity>
  <Lines>214</Lines>
  <Paragraphs>60</Paragraphs>
  <ScaleCrop>false</ScaleCrop>
  <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2020-11-10T10:21:00Z</dcterms:created>
  <dcterms:modified xsi:type="dcterms:W3CDTF">2020-11-10T10:26:00Z</dcterms:modified>
</cp:coreProperties>
</file>