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D0" w:rsidRPr="00DD03F9" w:rsidRDefault="003F6CD0" w:rsidP="003F6CD0">
      <w:pPr>
        <w:shd w:val="clear" w:color="auto" w:fill="FFFFFF"/>
        <w:spacing w:after="0" w:line="240" w:lineRule="auto"/>
        <w:ind w:left="837"/>
        <w:textAlignment w:val="center"/>
        <w:outlineLvl w:val="1"/>
        <w:rPr>
          <w:rFonts w:ascii="Cambria" w:eastAsia="Times New Roman" w:hAnsi="Cambria" w:cs="Times New Roman"/>
          <w:b/>
          <w:bCs/>
          <w:color w:val="666666"/>
          <w:sz w:val="36"/>
          <w:szCs w:val="36"/>
        </w:rPr>
      </w:pPr>
      <w:r w:rsidRPr="00DD03F9">
        <w:rPr>
          <w:rFonts w:ascii="Cambria" w:eastAsia="Times New Roman" w:hAnsi="Cambria" w:cs="Times New Roman"/>
          <w:b/>
          <w:bCs/>
          <w:color w:val="339966"/>
          <w:sz w:val="36"/>
          <w:szCs w:val="36"/>
        </w:rPr>
        <w:t>Постановление Совета Министров РБ от 28 октября 1999 г. № 1677</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b/>
          <w:bCs/>
          <w:color w:val="666666"/>
          <w:sz w:val="23"/>
        </w:rPr>
        <w:t>Об утверждении Положения о порядке управления имуществом подопечных</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Изменения и дополнения:</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Совета Министров Республики Беларусь от 25 ноября 2002 г. № 1638 (Национальный реестр правовых актов Республики Беларусь, 2002 г., № 133, 5/11532)</w:t>
      </w:r>
      <w:proofErr w:type="gramStart"/>
      <w:r w:rsidRPr="003F6CD0">
        <w:rPr>
          <w:rFonts w:ascii="Cambria" w:eastAsia="Times New Roman" w:hAnsi="Cambria" w:cs="Times New Roman"/>
          <w:color w:val="666666"/>
          <w:sz w:val="23"/>
          <w:szCs w:val="23"/>
        </w:rPr>
        <w:t> ;</w:t>
      </w:r>
      <w:proofErr w:type="gramEnd"/>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Совета Министров Республики Беларусь от 23 марта 2005 г. № 309 (Национальный реестр правовых актов Республики Беларусь, 2005 г., № 52, 5/15773)</w:t>
      </w:r>
      <w:proofErr w:type="gramStart"/>
      <w:r w:rsidRPr="003F6CD0">
        <w:rPr>
          <w:rFonts w:ascii="Cambria" w:eastAsia="Times New Roman" w:hAnsi="Cambria" w:cs="Times New Roman"/>
          <w:color w:val="666666"/>
          <w:sz w:val="23"/>
          <w:szCs w:val="23"/>
        </w:rPr>
        <w:t> ;</w:t>
      </w:r>
      <w:proofErr w:type="gramEnd"/>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Совета Министров Республики Беларусь от 1 ноября 2006 г. № 1448 (Национальный реестр правовых актов Республики Беларусь, 2006 г., № 185, 5/24147)</w:t>
      </w:r>
      <w:proofErr w:type="gramStart"/>
      <w:r w:rsidRPr="003F6CD0">
        <w:rPr>
          <w:rFonts w:ascii="Cambria" w:eastAsia="Times New Roman" w:hAnsi="Cambria" w:cs="Times New Roman"/>
          <w:color w:val="666666"/>
          <w:sz w:val="23"/>
          <w:szCs w:val="23"/>
        </w:rPr>
        <w:t> ;</w:t>
      </w:r>
      <w:proofErr w:type="gramEnd"/>
    </w:p>
    <w:p w:rsidR="003F6CD0" w:rsidRPr="003F6CD0" w:rsidRDefault="003F6CD0" w:rsidP="00DD03F9">
      <w:pPr>
        <w:shd w:val="clear" w:color="auto" w:fill="FFFFFF"/>
        <w:spacing w:before="100" w:beforeAutospacing="1" w:after="100" w:afterAutospacing="1" w:line="240" w:lineRule="auto"/>
        <w:ind w:firstLine="567"/>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Совета Министров Республики Беларусь от 17 ноября 2007 г. № 1535 (Национальный реестр правовых актов Республики Беларусь, 2007 г., № 287, 5/26184)</w:t>
      </w:r>
      <w:proofErr w:type="gramStart"/>
      <w:r w:rsidRPr="003F6CD0">
        <w:rPr>
          <w:rFonts w:ascii="Cambria" w:eastAsia="Times New Roman" w:hAnsi="Cambria" w:cs="Times New Roman"/>
          <w:color w:val="666666"/>
          <w:sz w:val="23"/>
          <w:szCs w:val="23"/>
        </w:rPr>
        <w:t> ;</w:t>
      </w:r>
      <w:proofErr w:type="gramEnd"/>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Совета Министров Республики Беларусь от 2 августа 2008 г. № 1103 (Национальный реестр правовых актов Республики Беларусь, 2008 г., № 188, 5/28107)</w:t>
      </w:r>
      <w:proofErr w:type="gramStart"/>
      <w:r w:rsidRPr="003F6CD0">
        <w:rPr>
          <w:rFonts w:ascii="Cambria" w:eastAsia="Times New Roman" w:hAnsi="Cambria" w:cs="Times New Roman"/>
          <w:color w:val="666666"/>
          <w:sz w:val="23"/>
          <w:szCs w:val="23"/>
        </w:rPr>
        <w:t> ;</w:t>
      </w:r>
      <w:proofErr w:type="gramEnd"/>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Совета Министров Республики Беларусь от 23 декабря 2008 г. № 2010 (Национальный реестр правовых актов Республики Беларусь, 2009 г., № 14, 5/29066)</w:t>
      </w:r>
      <w:proofErr w:type="gramStart"/>
      <w:r w:rsidRPr="003F6CD0">
        <w:rPr>
          <w:rFonts w:ascii="Cambria" w:eastAsia="Times New Roman" w:hAnsi="Cambria" w:cs="Times New Roman"/>
          <w:color w:val="666666"/>
          <w:sz w:val="23"/>
          <w:szCs w:val="23"/>
        </w:rPr>
        <w:t> ;</w:t>
      </w:r>
      <w:proofErr w:type="gramEnd"/>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Совета Министров Республики Беларусь от 17 июля 2012 г. № 659 (Национальный правовой Интернет-портал Республики Беларусь, 28.07.2012, 5/36004)</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В связи с принятием Кодекса Республики Беларусь о браке и семье Совет Министров Республики Беларусь ПОСТАНОВЛЯЕТ:</w:t>
      </w:r>
    </w:p>
    <w:p w:rsidR="003F6CD0" w:rsidRPr="003F6CD0" w:rsidRDefault="003F6CD0" w:rsidP="003F6CD0">
      <w:pPr>
        <w:shd w:val="clear" w:color="auto" w:fill="FFFFFF"/>
        <w:spacing w:before="100" w:beforeAutospacing="1" w:after="100" w:afterAutospacing="1" w:line="240" w:lineRule="auto"/>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Утвердить прилагаемое Положение о порядке управления имуществом подопечных.</w:t>
      </w:r>
    </w:p>
    <w:tbl>
      <w:tblPr>
        <w:tblW w:w="12993" w:type="dxa"/>
        <w:shd w:val="clear" w:color="auto" w:fill="FFFFFF"/>
        <w:tblCellMar>
          <w:left w:w="0" w:type="dxa"/>
          <w:right w:w="0" w:type="dxa"/>
        </w:tblCellMar>
        <w:tblLook w:val="04A0"/>
      </w:tblPr>
      <w:tblGrid>
        <w:gridCol w:w="6496"/>
        <w:gridCol w:w="6497"/>
      </w:tblGrid>
      <w:tr w:rsidR="003F6CD0" w:rsidRPr="003F6CD0" w:rsidTr="003F6CD0">
        <w:tc>
          <w:tcPr>
            <w:tcW w:w="2500" w:type="pct"/>
            <w:shd w:val="clear" w:color="auto" w:fill="FFFFFF"/>
            <w:tcMar>
              <w:top w:w="84" w:type="dxa"/>
              <w:left w:w="84" w:type="dxa"/>
              <w:bottom w:w="84" w:type="dxa"/>
              <w:right w:w="84" w:type="dxa"/>
            </w:tcMar>
            <w:hideMark/>
          </w:tcPr>
          <w:p w:rsidR="003F6CD0" w:rsidRPr="003F6CD0" w:rsidRDefault="003F6CD0" w:rsidP="003F6CD0">
            <w:pPr>
              <w:spacing w:before="100" w:beforeAutospacing="1" w:after="100" w:afterAutospacing="1" w:line="240" w:lineRule="auto"/>
              <w:rPr>
                <w:rFonts w:ascii="Cambria" w:eastAsia="Times New Roman" w:hAnsi="Cambria" w:cs="Times New Roman"/>
                <w:color w:val="666666"/>
                <w:sz w:val="23"/>
                <w:szCs w:val="23"/>
              </w:rPr>
            </w:pPr>
            <w:r w:rsidRPr="003F6CD0">
              <w:rPr>
                <w:rFonts w:ascii="Cambria" w:eastAsia="Times New Roman" w:hAnsi="Cambria" w:cs="Times New Roman"/>
                <w:b/>
                <w:bCs/>
                <w:color w:val="666666"/>
                <w:sz w:val="23"/>
              </w:rPr>
              <w:t>Премьер-министр Республики Беларусь</w:t>
            </w:r>
          </w:p>
        </w:tc>
        <w:tc>
          <w:tcPr>
            <w:tcW w:w="2500" w:type="pct"/>
            <w:shd w:val="clear" w:color="auto" w:fill="FFFFFF"/>
            <w:tcMar>
              <w:top w:w="84" w:type="dxa"/>
              <w:left w:w="84" w:type="dxa"/>
              <w:bottom w:w="84" w:type="dxa"/>
              <w:right w:w="84" w:type="dxa"/>
            </w:tcMar>
            <w:hideMark/>
          </w:tcPr>
          <w:p w:rsidR="003F6CD0" w:rsidRPr="003F6CD0" w:rsidRDefault="003F6CD0" w:rsidP="003F6CD0">
            <w:pPr>
              <w:spacing w:before="100" w:beforeAutospacing="1" w:after="100" w:afterAutospacing="1" w:line="240" w:lineRule="auto"/>
              <w:jc w:val="right"/>
              <w:rPr>
                <w:rFonts w:ascii="Cambria" w:eastAsia="Times New Roman" w:hAnsi="Cambria" w:cs="Times New Roman"/>
                <w:color w:val="666666"/>
                <w:sz w:val="23"/>
                <w:szCs w:val="23"/>
              </w:rPr>
            </w:pPr>
            <w:proofErr w:type="spellStart"/>
            <w:r w:rsidRPr="003F6CD0">
              <w:rPr>
                <w:rFonts w:ascii="Cambria" w:eastAsia="Times New Roman" w:hAnsi="Cambria" w:cs="Times New Roman"/>
                <w:b/>
                <w:bCs/>
                <w:color w:val="666666"/>
                <w:sz w:val="23"/>
              </w:rPr>
              <w:t>С.Линг</w:t>
            </w:r>
            <w:proofErr w:type="spellEnd"/>
          </w:p>
        </w:tc>
      </w:tr>
    </w:tbl>
    <w:p w:rsidR="003F6CD0" w:rsidRPr="003F6CD0" w:rsidRDefault="003F6CD0" w:rsidP="003F6CD0">
      <w:pPr>
        <w:spacing w:after="0" w:line="240" w:lineRule="auto"/>
        <w:rPr>
          <w:rFonts w:ascii="Times New Roman" w:eastAsia="Times New Roman" w:hAnsi="Times New Roman" w:cs="Times New Roman"/>
          <w:vanish/>
          <w:sz w:val="24"/>
          <w:szCs w:val="24"/>
        </w:rPr>
      </w:pPr>
    </w:p>
    <w:tbl>
      <w:tblPr>
        <w:tblW w:w="9853" w:type="dxa"/>
        <w:shd w:val="clear" w:color="auto" w:fill="FFFFFF"/>
        <w:tblCellMar>
          <w:left w:w="0" w:type="dxa"/>
          <w:right w:w="0" w:type="dxa"/>
        </w:tblCellMar>
        <w:tblLook w:val="04A0"/>
      </w:tblPr>
      <w:tblGrid>
        <w:gridCol w:w="6605"/>
        <w:gridCol w:w="3248"/>
      </w:tblGrid>
      <w:tr w:rsidR="003F6CD0" w:rsidRPr="003F6CD0" w:rsidTr="00DD03F9">
        <w:tc>
          <w:tcPr>
            <w:tcW w:w="3352" w:type="pct"/>
            <w:shd w:val="clear" w:color="auto" w:fill="FFFFFF"/>
            <w:tcMar>
              <w:top w:w="84" w:type="dxa"/>
              <w:left w:w="84" w:type="dxa"/>
              <w:bottom w:w="84" w:type="dxa"/>
              <w:right w:w="84" w:type="dxa"/>
            </w:tcMar>
            <w:hideMark/>
          </w:tcPr>
          <w:p w:rsidR="003F6CD0" w:rsidRPr="003F6CD0" w:rsidRDefault="003F6CD0" w:rsidP="003F6CD0">
            <w:pPr>
              <w:spacing w:after="0" w:line="240" w:lineRule="auto"/>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 </w:t>
            </w:r>
          </w:p>
        </w:tc>
        <w:tc>
          <w:tcPr>
            <w:tcW w:w="1648" w:type="pct"/>
            <w:shd w:val="clear" w:color="auto" w:fill="FFFFFF"/>
            <w:tcMar>
              <w:top w:w="84" w:type="dxa"/>
              <w:left w:w="84" w:type="dxa"/>
              <w:bottom w:w="84" w:type="dxa"/>
              <w:right w:w="84" w:type="dxa"/>
            </w:tcMar>
            <w:hideMark/>
          </w:tcPr>
          <w:p w:rsidR="003F6CD0" w:rsidRPr="003F6CD0" w:rsidRDefault="003F6CD0" w:rsidP="00DD03F9">
            <w:pPr>
              <w:spacing w:after="0" w:line="240" w:lineRule="auto"/>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УТВЕРЖДЕНО</w:t>
            </w:r>
          </w:p>
          <w:p w:rsidR="003F6CD0" w:rsidRPr="003F6CD0" w:rsidRDefault="003F6CD0" w:rsidP="00DD03F9">
            <w:pPr>
              <w:spacing w:after="0" w:line="240" w:lineRule="auto"/>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Постановление </w:t>
            </w:r>
            <w:r w:rsidRPr="003F6CD0">
              <w:rPr>
                <w:rFonts w:ascii="Cambria" w:eastAsia="Times New Roman" w:hAnsi="Cambria" w:cs="Times New Roman"/>
                <w:color w:val="666666"/>
                <w:sz w:val="23"/>
                <w:szCs w:val="23"/>
              </w:rPr>
              <w:br/>
              <w:t>Совета Министров </w:t>
            </w:r>
            <w:r w:rsidRPr="003F6CD0">
              <w:rPr>
                <w:rFonts w:ascii="Cambria" w:eastAsia="Times New Roman" w:hAnsi="Cambria" w:cs="Times New Roman"/>
                <w:color w:val="666666"/>
                <w:sz w:val="23"/>
                <w:szCs w:val="23"/>
              </w:rPr>
              <w:br/>
              <w:t>Республики Беларусь</w:t>
            </w:r>
          </w:p>
          <w:p w:rsidR="003F6CD0" w:rsidRPr="003F6CD0" w:rsidRDefault="003F6CD0" w:rsidP="00DD03F9">
            <w:pPr>
              <w:spacing w:after="0" w:line="240" w:lineRule="auto"/>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28.10.1999 № 1677</w:t>
            </w:r>
          </w:p>
        </w:tc>
      </w:tr>
    </w:tbl>
    <w:p w:rsidR="003F6CD0" w:rsidRPr="003F6CD0" w:rsidRDefault="003F6CD0" w:rsidP="003F6CD0">
      <w:pPr>
        <w:shd w:val="clear" w:color="auto" w:fill="FFFFFF"/>
        <w:spacing w:before="100" w:beforeAutospacing="1" w:after="100" w:afterAutospacing="1" w:line="240" w:lineRule="auto"/>
        <w:rPr>
          <w:rFonts w:ascii="Cambria" w:eastAsia="Times New Roman" w:hAnsi="Cambria" w:cs="Times New Roman"/>
          <w:color w:val="666666"/>
          <w:sz w:val="23"/>
          <w:szCs w:val="23"/>
        </w:rPr>
      </w:pPr>
      <w:r w:rsidRPr="003F6CD0">
        <w:rPr>
          <w:rFonts w:ascii="Cambria" w:eastAsia="Times New Roman" w:hAnsi="Cambria" w:cs="Times New Roman"/>
          <w:b/>
          <w:bCs/>
          <w:color w:val="666666"/>
          <w:sz w:val="23"/>
        </w:rPr>
        <w:t>ПОЛОЖЕНИЕ</w:t>
      </w:r>
      <w:r w:rsidRPr="003F6CD0">
        <w:rPr>
          <w:rFonts w:ascii="Cambria" w:eastAsia="Times New Roman" w:hAnsi="Cambria" w:cs="Times New Roman"/>
          <w:b/>
          <w:bCs/>
          <w:color w:val="666666"/>
          <w:sz w:val="23"/>
          <w:szCs w:val="23"/>
        </w:rPr>
        <w:br/>
      </w:r>
      <w:r w:rsidRPr="003F6CD0">
        <w:rPr>
          <w:rFonts w:ascii="Cambria" w:eastAsia="Times New Roman" w:hAnsi="Cambria" w:cs="Times New Roman"/>
          <w:b/>
          <w:bCs/>
          <w:color w:val="666666"/>
          <w:sz w:val="23"/>
        </w:rPr>
        <w:t>о порядке управления имуществом подопечных</w:t>
      </w:r>
    </w:p>
    <w:p w:rsidR="003F6CD0" w:rsidRPr="003F6CD0" w:rsidRDefault="003F6CD0" w:rsidP="003F6CD0">
      <w:pPr>
        <w:shd w:val="clear" w:color="auto" w:fill="FFFFFF"/>
        <w:spacing w:before="100" w:beforeAutospacing="1" w:after="100" w:afterAutospacing="1" w:line="240" w:lineRule="auto"/>
        <w:jc w:val="center"/>
        <w:rPr>
          <w:rFonts w:ascii="Cambria" w:eastAsia="Times New Roman" w:hAnsi="Cambria" w:cs="Times New Roman"/>
          <w:color w:val="666666"/>
          <w:sz w:val="23"/>
          <w:szCs w:val="23"/>
        </w:rPr>
      </w:pPr>
      <w:r w:rsidRPr="003F6CD0">
        <w:rPr>
          <w:rFonts w:ascii="Cambria" w:eastAsia="Times New Roman" w:hAnsi="Cambria" w:cs="Times New Roman"/>
          <w:b/>
          <w:bCs/>
          <w:color w:val="666666"/>
          <w:sz w:val="23"/>
        </w:rPr>
        <w:t>Общие положения</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 Целью управления имуществом подопечных является реализация и защита их имущественных прав.</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lastRenderedPageBreak/>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денег с должников в пользу подопечного, взыскание и возмещение причиненных подопечному убытков и т.п.</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 Республики Беларусь.</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b/>
          <w:bCs/>
          <w:color w:val="666666"/>
          <w:sz w:val="23"/>
        </w:rPr>
        <w:t>Выявление и учет имущества подопечных</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В случае, когда у лица, находящегося на государственном обеспечении в учреждениях образования, социального обслуживания, здравоохранения,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6. Опись имущества, принадлежащего лицу, нуждающемуся в защите имущественных прав, производится по форме в соответствии с приложением к настоящему Положению органом опеки и попечительства, в необходимых случаях с участием представителей организаций, осуществляющих эксплуатацию жилищного фонда, территориальной организации по государственной регистрации недвижимого имущества и прав на него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7. В опись заносятся предметы домашней обстановки, хозяйственные и носильные вещи с указанием отличительных признаков каждой из них, степени ее изношенности, а также указывается правоустанавливающий документ (соответствующий договор, регистрационное удостоверение, свидетельство о праве на наследство и т.д.), подтверждающий право собственности на жилое помещение.</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 Республики Беларусь.</w:t>
      </w:r>
    </w:p>
    <w:p w:rsidR="00DD03F9" w:rsidRDefault="00DD03F9"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p>
    <w:p w:rsidR="00DD03F9" w:rsidRPr="003F6CD0" w:rsidRDefault="00DD03F9"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b/>
          <w:bCs/>
          <w:color w:val="666666"/>
          <w:sz w:val="23"/>
        </w:rPr>
        <w:lastRenderedPageBreak/>
        <w:t>Порядок хранения и управления имуществом</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 Республики Беларусь.</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13. </w:t>
      </w:r>
      <w:proofErr w:type="gramStart"/>
      <w:r w:rsidRPr="003F6CD0">
        <w:rPr>
          <w:rFonts w:ascii="Cambria" w:eastAsia="Times New Roman" w:hAnsi="Cambria" w:cs="Times New Roman"/>
          <w:color w:val="666666"/>
          <w:sz w:val="23"/>
          <w:szCs w:val="23"/>
        </w:rPr>
        <w:t>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w:t>
      </w:r>
      <w:proofErr w:type="gramEnd"/>
      <w:r w:rsidRPr="003F6CD0">
        <w:rPr>
          <w:rFonts w:ascii="Cambria" w:eastAsia="Times New Roman" w:hAnsi="Cambria" w:cs="Times New Roman"/>
          <w:color w:val="666666"/>
          <w:sz w:val="23"/>
          <w:szCs w:val="23"/>
        </w:rPr>
        <w:t xml:space="preserve">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14. При наличии у подопечного вклада, ценных бумаг в его личном деле указывается размер суммы, название банка и номер счета.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сберегательную книжку и ценные бумаги по описи администрации учреждения на ответственное хранение.</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15. </w:t>
      </w:r>
      <w:proofErr w:type="gramStart"/>
      <w:r w:rsidRPr="003F6CD0">
        <w:rPr>
          <w:rFonts w:ascii="Cambria" w:eastAsia="Times New Roman" w:hAnsi="Cambria" w:cs="Times New Roman"/>
          <w:color w:val="666666"/>
          <w:sz w:val="23"/>
          <w:szCs w:val="23"/>
        </w:rPr>
        <w:t>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w:t>
      </w:r>
      <w:proofErr w:type="gramEnd"/>
      <w:r w:rsidRPr="003F6CD0">
        <w:rPr>
          <w:rFonts w:ascii="Cambria" w:eastAsia="Times New Roman" w:hAnsi="Cambria" w:cs="Times New Roman"/>
          <w:color w:val="666666"/>
          <w:sz w:val="23"/>
          <w:szCs w:val="23"/>
        </w:rPr>
        <w:t xml:space="preserve"> При этом доходы от сдачи жилых помещений по договорам найма жилых помещений частного жилищного фонда зачисляются </w:t>
      </w:r>
      <w:proofErr w:type="gramStart"/>
      <w:r w:rsidRPr="003F6CD0">
        <w:rPr>
          <w:rFonts w:ascii="Cambria" w:eastAsia="Times New Roman" w:hAnsi="Cambria" w:cs="Times New Roman"/>
          <w:color w:val="666666"/>
          <w:sz w:val="23"/>
          <w:szCs w:val="23"/>
        </w:rPr>
        <w:t>на лицевые счета подопечных в банках за вычетом сумм на плату за техническое обслуживание</w:t>
      </w:r>
      <w:proofErr w:type="gramEnd"/>
      <w:r w:rsidRPr="003F6CD0">
        <w:rPr>
          <w:rFonts w:ascii="Cambria" w:eastAsia="Times New Roman" w:hAnsi="Cambria" w:cs="Times New Roman"/>
          <w:color w:val="666666"/>
          <w:sz w:val="23"/>
          <w:szCs w:val="23"/>
        </w:rPr>
        <w:t>, отчислений на капитальный ремонт жилого дома и платы за коммунальные услуги.</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proofErr w:type="gramStart"/>
      <w:r w:rsidRPr="003F6CD0">
        <w:rPr>
          <w:rFonts w:ascii="Cambria" w:eastAsia="Times New Roman" w:hAnsi="Cambria" w:cs="Times New Roman"/>
          <w:color w:val="666666"/>
          <w:sz w:val="23"/>
          <w:szCs w:val="23"/>
        </w:rPr>
        <w:t>Опекун исключительно в интересах совершеннолетних граждан, признанных судом недееспособными и постоянно проживающих в психоневрологических домах-интернатах для престарелых и инвалидов, с предварительного письменного разрешения органа опеки и попечительства вправе совершать расходы, необходимые для улучшения содержания подопечных (приобретение товаров длительного пользования (мебели, бытовой, аудио-, видеотехники, предметов интерьера), ремонт бытовой техники, жилого помещения, предоставленного для проживания, одежды, обуви и другого), за счет сумм</w:t>
      </w:r>
      <w:proofErr w:type="gramEnd"/>
      <w:r w:rsidRPr="003F6CD0">
        <w:rPr>
          <w:rFonts w:ascii="Cambria" w:eastAsia="Times New Roman" w:hAnsi="Cambria" w:cs="Times New Roman"/>
          <w:color w:val="666666"/>
          <w:sz w:val="23"/>
          <w:szCs w:val="23"/>
        </w:rPr>
        <w:t xml:space="preserve">, причитающихся подопечным в качестве их </w:t>
      </w:r>
      <w:r w:rsidRPr="003F6CD0">
        <w:rPr>
          <w:rFonts w:ascii="Cambria" w:eastAsia="Times New Roman" w:hAnsi="Cambria" w:cs="Times New Roman"/>
          <w:color w:val="666666"/>
          <w:sz w:val="23"/>
          <w:szCs w:val="23"/>
        </w:rPr>
        <w:lastRenderedPageBreak/>
        <w:t>доходов от сдачи по договорам найма принадлежащих им на праве собственности жилых помещений.</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proofErr w:type="gramStart"/>
      <w:r w:rsidRPr="003F6CD0">
        <w:rPr>
          <w:rFonts w:ascii="Cambria" w:eastAsia="Times New Roman" w:hAnsi="Cambria" w:cs="Times New Roman"/>
          <w:color w:val="666666"/>
          <w:sz w:val="23"/>
          <w:szCs w:val="23"/>
        </w:rP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Указом Президента Республики Беларусь от 9 августа 2007 г. № 378 «О некоторых вопросах обеспечения прав детей-сирот и детей, оставшихся без попечения родителей» (Национальный реестр правовых актов</w:t>
      </w:r>
      <w:proofErr w:type="gramEnd"/>
      <w:r w:rsidRPr="003F6CD0">
        <w:rPr>
          <w:rFonts w:ascii="Cambria" w:eastAsia="Times New Roman" w:hAnsi="Cambria" w:cs="Times New Roman"/>
          <w:color w:val="666666"/>
          <w:sz w:val="23"/>
          <w:szCs w:val="23"/>
        </w:rPr>
        <w:t xml:space="preserve"> </w:t>
      </w:r>
      <w:proofErr w:type="gramStart"/>
      <w:r w:rsidRPr="003F6CD0">
        <w:rPr>
          <w:rFonts w:ascii="Cambria" w:eastAsia="Times New Roman" w:hAnsi="Cambria" w:cs="Times New Roman"/>
          <w:color w:val="666666"/>
          <w:sz w:val="23"/>
          <w:szCs w:val="23"/>
        </w:rPr>
        <w:t>Республики Беларусь, 2007 г., № 196, 1/8812).</w:t>
      </w:r>
      <w:proofErr w:type="gramEnd"/>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счета подопечных, открываемые администрацией указанных учреждений в банке.</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18. В случае перевода подопечного в другое учреждение, прекращения опеки, попечительства, передачи его на усыновление, замены опекуна, попечителя сберегательная книжка и ценные бумаги соответственно передаются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w:t>
      </w:r>
      <w:proofErr w:type="gramStart"/>
      <w:r w:rsidRPr="003F6CD0">
        <w:rPr>
          <w:rFonts w:ascii="Cambria" w:eastAsia="Times New Roman" w:hAnsi="Cambria" w:cs="Times New Roman"/>
          <w:color w:val="666666"/>
          <w:sz w:val="23"/>
          <w:szCs w:val="23"/>
        </w:rPr>
        <w:t>кт в дв</w:t>
      </w:r>
      <w:proofErr w:type="gramEnd"/>
      <w:r w:rsidRPr="003F6CD0">
        <w:rPr>
          <w:rFonts w:ascii="Cambria" w:eastAsia="Times New Roman" w:hAnsi="Cambria" w:cs="Times New Roman"/>
          <w:color w:val="666666"/>
          <w:sz w:val="23"/>
          <w:szCs w:val="23"/>
        </w:rPr>
        <w:t>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социального обслуживания. Несовершеннолетние подопечные старше 14 лет обязательно присутствуют при передаче их имущества, ценностей, документов, подтверждающих их права на имущество, попечителю либо руководителю учреждения, куда они переводятся.</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 xml:space="preserve">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w:t>
      </w:r>
      <w:proofErr w:type="gramStart"/>
      <w:r w:rsidRPr="003F6CD0">
        <w:rPr>
          <w:rFonts w:ascii="Cambria" w:eastAsia="Times New Roman" w:hAnsi="Cambria" w:cs="Times New Roman"/>
          <w:color w:val="666666"/>
          <w:sz w:val="23"/>
          <w:szCs w:val="23"/>
        </w:rPr>
        <w:t>имеют свою нумерацию по порядку номеров начиная</w:t>
      </w:r>
      <w:proofErr w:type="gramEnd"/>
      <w:r w:rsidRPr="003F6CD0">
        <w:rPr>
          <w:rFonts w:ascii="Cambria" w:eastAsia="Times New Roman" w:hAnsi="Cambria" w:cs="Times New Roman"/>
          <w:color w:val="666666"/>
          <w:sz w:val="23"/>
          <w:szCs w:val="23"/>
        </w:rPr>
        <w:t xml:space="preserve">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b/>
          <w:bCs/>
          <w:color w:val="666666"/>
          <w:sz w:val="23"/>
        </w:rPr>
        <w:t>Порядок отчуждения имущества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21. Отчуждение имущества подопечного (кроме жилых помещений) стоимостью до 300 базовых величин может производиться опекуном, попечителем в городах с разрешения руководителя органа образования, здравоохранения, осуществляющего функции по опеке и попечительству в отношении подопечного, а в сельских населенных пунктах и рабочих поселках – с разрешения руководителя местного исполнительного и распорядительного органа.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22. При необходимости защиты интересов подопечного органы опеки и попечительства вправе также ограничить право опекуна распоряжаться вкладом подопечного. В этих случаях органы опеки и попечительства, давая разрешение на получение суммы вклада, указывают банку размер суммы, подлежащей выдаче опекуну, попечителю. Копия разрешения должна храниться в личном деле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 xml:space="preserve">23. Разрешение на отчуждение имущества и расходование денежных сумм выдается опекуну, попечителю в письменном виде. Копии документов о разрешении отчуждения имущества должны </w:t>
      </w:r>
      <w:r w:rsidRPr="003F6CD0">
        <w:rPr>
          <w:rFonts w:ascii="Cambria" w:eastAsia="Times New Roman" w:hAnsi="Cambria" w:cs="Times New Roman"/>
          <w:color w:val="666666"/>
          <w:sz w:val="23"/>
          <w:szCs w:val="23"/>
        </w:rPr>
        <w:lastRenderedPageBreak/>
        <w:t>храниться в личном деле подопечного. В разрешении указывается, на какие нужды может быть израсходована опекуном, попечителем полученная сумма.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24. Деньги,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счета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 xml:space="preserve">25. При продаже опекуном, попечителем по разрешению органа опеки и </w:t>
      </w:r>
      <w:proofErr w:type="gramStart"/>
      <w:r w:rsidRPr="003F6CD0">
        <w:rPr>
          <w:rFonts w:ascii="Cambria" w:eastAsia="Times New Roman" w:hAnsi="Cambria" w:cs="Times New Roman"/>
          <w:color w:val="666666"/>
          <w:sz w:val="23"/>
          <w:szCs w:val="23"/>
        </w:rPr>
        <w:t>попечительства</w:t>
      </w:r>
      <w:proofErr w:type="gramEnd"/>
      <w:r w:rsidRPr="003F6CD0">
        <w:rPr>
          <w:rFonts w:ascii="Cambria" w:eastAsia="Times New Roman" w:hAnsi="Cambria" w:cs="Times New Roman"/>
          <w:color w:val="666666"/>
          <w:sz w:val="23"/>
          <w:szCs w:val="23"/>
        </w:rPr>
        <w:t xml:space="preserve"> носильных вещей, мебели и другого имущества подопечного копии товарных чеков хранятся в личном деле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26. </w:t>
      </w:r>
      <w:proofErr w:type="gramStart"/>
      <w:r w:rsidRPr="003F6CD0">
        <w:rPr>
          <w:rFonts w:ascii="Cambria" w:eastAsia="Times New Roman" w:hAnsi="Cambria" w:cs="Times New Roman"/>
          <w:color w:val="666666"/>
          <w:sz w:val="23"/>
          <w:szCs w:val="23"/>
        </w:rPr>
        <w:t>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roofErr w:type="gramEnd"/>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proofErr w:type="gramStart"/>
      <w:r w:rsidRPr="003F6CD0">
        <w:rPr>
          <w:rFonts w:ascii="Cambria" w:eastAsia="Times New Roman" w:hAnsi="Cambria" w:cs="Times New Roman"/>
          <w:b/>
          <w:bCs/>
          <w:color w:val="666666"/>
          <w:sz w:val="23"/>
        </w:rPr>
        <w:t>Контроль за</w:t>
      </w:r>
      <w:proofErr w:type="gramEnd"/>
      <w:r w:rsidRPr="003F6CD0">
        <w:rPr>
          <w:rFonts w:ascii="Cambria" w:eastAsia="Times New Roman" w:hAnsi="Cambria" w:cs="Times New Roman"/>
          <w:b/>
          <w:bCs/>
          <w:color w:val="666666"/>
          <w:sz w:val="23"/>
        </w:rPr>
        <w:t xml:space="preserve"> сохранностью имущества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30. Опекун, попечитель ведет учет получаемых на подопечного сумм и произведенных из них расходов.</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32. В отчете опекуна, попечителя должны быть перечислены и указаны даты получения сумм с текущего счета подопечного, сумм, вырученных от отчуждения имущества в течение отчетного года и затрат, произведенных из них для нужд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 xml:space="preserve">34. Отчет опекуна, попечителя утверждается в городах руководителем органа образования, здравоохранения, осуществляющего функции по опеке и попечительству в отношении </w:t>
      </w:r>
      <w:r w:rsidRPr="003F6CD0">
        <w:rPr>
          <w:rFonts w:ascii="Cambria" w:eastAsia="Times New Roman" w:hAnsi="Cambria" w:cs="Times New Roman"/>
          <w:color w:val="666666"/>
          <w:sz w:val="23"/>
          <w:szCs w:val="23"/>
        </w:rPr>
        <w:lastRenderedPageBreak/>
        <w:t>подопечного, а в рабочих поселках и сельских населенных пунктах – руководителем местного исполнительного и распорядительного органа.</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36. Утвержденный отчет опекуна, попечителя хранится в личном деле подопечного.</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3F6CD0" w:rsidRPr="003F6CD0" w:rsidRDefault="003F6CD0" w:rsidP="00DD03F9">
      <w:pPr>
        <w:shd w:val="clear" w:color="auto" w:fill="FFFFFF"/>
        <w:spacing w:before="100" w:beforeAutospacing="1" w:after="100" w:afterAutospacing="1" w:line="240" w:lineRule="auto"/>
        <w:jc w:val="both"/>
        <w:rPr>
          <w:rFonts w:ascii="Cambria" w:eastAsia="Times New Roman" w:hAnsi="Cambria" w:cs="Times New Roman"/>
          <w:color w:val="666666"/>
          <w:sz w:val="23"/>
          <w:szCs w:val="23"/>
        </w:rPr>
      </w:pPr>
      <w:r w:rsidRPr="003F6CD0">
        <w:rPr>
          <w:rFonts w:ascii="Cambria" w:eastAsia="Times New Roman" w:hAnsi="Cambria" w:cs="Times New Roman"/>
          <w:color w:val="666666"/>
          <w:sz w:val="23"/>
          <w:szCs w:val="23"/>
        </w:rP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26659F" w:rsidRDefault="0026659F" w:rsidP="00DD03F9">
      <w:pPr>
        <w:jc w:val="both"/>
      </w:pPr>
    </w:p>
    <w:sectPr w:rsidR="0026659F" w:rsidSect="00DD03F9">
      <w:pgSz w:w="11906" w:h="16838"/>
      <w:pgMar w:top="568"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6CD0"/>
    <w:rsid w:val="0026659F"/>
    <w:rsid w:val="003F6CD0"/>
    <w:rsid w:val="008C5174"/>
    <w:rsid w:val="00DD0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74"/>
  </w:style>
  <w:style w:type="paragraph" w:styleId="2">
    <w:name w:val="heading 2"/>
    <w:basedOn w:val="a"/>
    <w:link w:val="20"/>
    <w:uiPriority w:val="9"/>
    <w:qFormat/>
    <w:rsid w:val="003F6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6CD0"/>
    <w:rPr>
      <w:rFonts w:ascii="Times New Roman" w:eastAsia="Times New Roman" w:hAnsi="Times New Roman" w:cs="Times New Roman"/>
      <w:b/>
      <w:bCs/>
      <w:sz w:val="36"/>
      <w:szCs w:val="36"/>
    </w:rPr>
  </w:style>
  <w:style w:type="paragraph" w:styleId="a3">
    <w:name w:val="Normal (Web)"/>
    <w:basedOn w:val="a"/>
    <w:uiPriority w:val="99"/>
    <w:unhideWhenUsed/>
    <w:rsid w:val="003F6C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6CD0"/>
    <w:rPr>
      <w:b/>
      <w:bCs/>
    </w:rPr>
  </w:style>
</w:styles>
</file>

<file path=word/webSettings.xml><?xml version="1.0" encoding="utf-8"?>
<w:webSettings xmlns:r="http://schemas.openxmlformats.org/officeDocument/2006/relationships" xmlns:w="http://schemas.openxmlformats.org/wordprocessingml/2006/main">
  <w:divs>
    <w:div w:id="20170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2574</Words>
  <Characters>14676</Characters>
  <Application>Microsoft Office Word</Application>
  <DocSecurity>0</DocSecurity>
  <Lines>122</Lines>
  <Paragraphs>34</Paragraphs>
  <ScaleCrop>false</ScaleCrop>
  <Company>Infobel 2010</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Admin</cp:lastModifiedBy>
  <cp:revision>4</cp:revision>
  <cp:lastPrinted>2017-08-12T07:16:00Z</cp:lastPrinted>
  <dcterms:created xsi:type="dcterms:W3CDTF">2017-08-10T09:54:00Z</dcterms:created>
  <dcterms:modified xsi:type="dcterms:W3CDTF">2017-08-12T07:16:00Z</dcterms:modified>
</cp:coreProperties>
</file>