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D5" w:rsidRPr="00EF37D5" w:rsidRDefault="00EF37D5" w:rsidP="00004879">
      <w:pPr>
        <w:shd w:val="clear" w:color="auto" w:fill="FFFFFF"/>
        <w:spacing w:before="150" w:after="180" w:line="270" w:lineRule="atLeast"/>
        <w:rPr>
          <w:rFonts w:ascii="Times New Roman" w:eastAsia="Times New Roman" w:hAnsi="Times New Roman" w:cs="Times New Roman"/>
          <w:b/>
          <w:color w:val="111111"/>
          <w:sz w:val="28"/>
          <w:szCs w:val="28"/>
          <w:lang w:eastAsia="ru-RU"/>
        </w:rPr>
      </w:pPr>
      <w:bookmarkStart w:id="0" w:name="_GoBack"/>
      <w:bookmarkEnd w:id="0"/>
      <w:r w:rsidRPr="00EF37D5">
        <w:rPr>
          <w:rFonts w:ascii="Times New Roman" w:eastAsia="Times New Roman" w:hAnsi="Times New Roman" w:cs="Times New Roman"/>
          <w:b/>
          <w:color w:val="111111"/>
          <w:sz w:val="28"/>
          <w:szCs w:val="28"/>
          <w:lang w:eastAsia="ru-RU"/>
        </w:rPr>
        <w:t>Поступление на педагогические специальности по целевым договорам</w:t>
      </w:r>
      <w:r w:rsidR="00D85AA9">
        <w:rPr>
          <w:rFonts w:ascii="Times New Roman" w:eastAsia="Times New Roman" w:hAnsi="Times New Roman" w:cs="Times New Roman"/>
          <w:b/>
          <w:color w:val="111111"/>
          <w:sz w:val="28"/>
          <w:szCs w:val="28"/>
          <w:lang w:eastAsia="ru-RU"/>
        </w:rPr>
        <w:t xml:space="preserve"> в 2022 году</w:t>
      </w:r>
      <w:r w:rsidRPr="00EF37D5">
        <w:rPr>
          <w:rFonts w:ascii="Times New Roman" w:eastAsia="Times New Roman" w:hAnsi="Times New Roman" w:cs="Times New Roman"/>
          <w:b/>
          <w:color w:val="111111"/>
          <w:sz w:val="28"/>
          <w:szCs w:val="28"/>
          <w:lang w:eastAsia="ru-RU"/>
        </w:rPr>
        <w:t>.</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color w:val="111111"/>
          <w:sz w:val="28"/>
          <w:szCs w:val="28"/>
          <w:lang w:eastAsia="ru-RU"/>
        </w:rPr>
        <w:t>В соответствии с пунктом 9 </w:t>
      </w:r>
      <w:hyperlink r:id="rId5" w:history="1">
        <w:r w:rsidRPr="00D85AA9">
          <w:rPr>
            <w:rStyle w:val="a3"/>
            <w:rFonts w:ascii="Times New Roman" w:eastAsia="Times New Roman" w:hAnsi="Times New Roman" w:cs="Times New Roman"/>
            <w:sz w:val="28"/>
            <w:szCs w:val="28"/>
            <w:lang w:eastAsia="ru-RU"/>
          </w:rPr>
          <w:t>ПРАВИЛ ПРИЕМА лиц для получения высшего образования I ступени</w:t>
        </w:r>
      </w:hyperlink>
      <w:r w:rsidRPr="00D85AA9">
        <w:rPr>
          <w:rFonts w:ascii="Times New Roman" w:eastAsia="Times New Roman" w:hAnsi="Times New Roman" w:cs="Times New Roman"/>
          <w:color w:val="111111"/>
          <w:sz w:val="28"/>
          <w:szCs w:val="28"/>
          <w:lang w:eastAsia="ru-RU"/>
        </w:rPr>
        <w:t> </w:t>
      </w:r>
      <w:r w:rsidRPr="00D85AA9">
        <w:rPr>
          <w:rFonts w:ascii="Times New Roman" w:eastAsia="Times New Roman" w:hAnsi="Times New Roman" w:cs="Times New Roman"/>
          <w:bCs/>
          <w:iCs/>
          <w:color w:val="111111"/>
          <w:sz w:val="28"/>
          <w:szCs w:val="28"/>
          <w:lang w:eastAsia="ru-RU"/>
        </w:rPr>
        <w:t>количество мест</w:t>
      </w:r>
      <w:r w:rsidRPr="00D85AA9">
        <w:rPr>
          <w:rFonts w:ascii="Times New Roman" w:eastAsia="Times New Roman" w:hAnsi="Times New Roman" w:cs="Times New Roman"/>
          <w:b/>
          <w:bCs/>
          <w:i/>
          <w:iCs/>
          <w:color w:val="111111"/>
          <w:sz w:val="28"/>
          <w:szCs w:val="28"/>
          <w:lang w:eastAsia="ru-RU"/>
        </w:rPr>
        <w:t> </w:t>
      </w:r>
      <w:r w:rsidRPr="00D85AA9">
        <w:rPr>
          <w:rFonts w:ascii="Times New Roman" w:eastAsia="Times New Roman" w:hAnsi="Times New Roman" w:cs="Times New Roman"/>
          <w:color w:val="111111"/>
          <w:sz w:val="28"/>
          <w:szCs w:val="28"/>
          <w:lang w:eastAsia="ru-RU"/>
        </w:rPr>
        <w:t>для получения высшего образования I ступени </w:t>
      </w:r>
      <w:r w:rsidRPr="00D85AA9">
        <w:rPr>
          <w:rFonts w:ascii="Times New Roman" w:eastAsia="Times New Roman" w:hAnsi="Times New Roman" w:cs="Times New Roman"/>
          <w:bCs/>
          <w:color w:val="111111"/>
          <w:sz w:val="28"/>
          <w:szCs w:val="28"/>
          <w:lang w:eastAsia="ru-RU"/>
        </w:rPr>
        <w:t>на условиях целевой подготовки специалистов</w:t>
      </w:r>
      <w:r w:rsidRPr="00D85AA9">
        <w:rPr>
          <w:rFonts w:ascii="Times New Roman" w:eastAsia="Times New Roman" w:hAnsi="Times New Roman" w:cs="Times New Roman"/>
          <w:color w:val="111111"/>
          <w:sz w:val="28"/>
          <w:szCs w:val="28"/>
          <w:lang w:eastAsia="ru-RU"/>
        </w:rPr>
        <w:t> утверждается Министерством образования Республики Беларусь в пределах </w:t>
      </w:r>
      <w:r w:rsidRPr="00D85AA9">
        <w:rPr>
          <w:rFonts w:ascii="Times New Roman" w:eastAsia="Times New Roman" w:hAnsi="Times New Roman" w:cs="Times New Roman"/>
          <w:bCs/>
          <w:i/>
          <w:iCs/>
          <w:color w:val="111111"/>
          <w:sz w:val="28"/>
          <w:szCs w:val="28"/>
          <w:lang w:eastAsia="ru-RU"/>
        </w:rPr>
        <w:t>до 40 процентов от контрольных цифр приема</w:t>
      </w:r>
      <w:r w:rsidRPr="00D85AA9">
        <w:rPr>
          <w:rFonts w:ascii="Times New Roman" w:eastAsia="Times New Roman" w:hAnsi="Times New Roman" w:cs="Times New Roman"/>
          <w:color w:val="111111"/>
          <w:sz w:val="28"/>
          <w:szCs w:val="28"/>
          <w:lang w:eastAsia="ru-RU"/>
        </w:rPr>
        <w:t>.</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color w:val="111111"/>
          <w:sz w:val="28"/>
          <w:szCs w:val="28"/>
          <w:lang w:eastAsia="ru-RU"/>
        </w:rPr>
        <w:t> </w:t>
      </w:r>
      <w:r w:rsidRPr="00D85AA9">
        <w:rPr>
          <w:rFonts w:ascii="Times New Roman" w:eastAsia="Times New Roman" w:hAnsi="Times New Roman" w:cs="Times New Roman"/>
          <w:bCs/>
          <w:iCs/>
          <w:color w:val="111111"/>
          <w:sz w:val="28"/>
          <w:szCs w:val="28"/>
          <w:lang w:eastAsia="ru-RU"/>
        </w:rPr>
        <w:t>Организации</w:t>
      </w:r>
      <w:r w:rsidRPr="00D85AA9">
        <w:rPr>
          <w:rFonts w:ascii="Times New Roman" w:eastAsia="Times New Roman" w:hAnsi="Times New Roman" w:cs="Times New Roman"/>
          <w:color w:val="111111"/>
          <w:sz w:val="28"/>
          <w:szCs w:val="28"/>
          <w:lang w:eastAsia="ru-RU"/>
        </w:rPr>
        <w:t>, имеющие потребность в целевой подготовке специалиста (далее – Заказчики), </w:t>
      </w:r>
      <w:r w:rsidRPr="00D85AA9">
        <w:rPr>
          <w:rFonts w:ascii="Times New Roman" w:eastAsia="Times New Roman" w:hAnsi="Times New Roman" w:cs="Times New Roman"/>
          <w:bCs/>
          <w:iCs/>
          <w:color w:val="111111"/>
          <w:sz w:val="28"/>
          <w:szCs w:val="28"/>
          <w:lang w:eastAsia="ru-RU"/>
        </w:rPr>
        <w:t>ежегодно подают заявки</w:t>
      </w:r>
      <w:r w:rsidRPr="00D85AA9">
        <w:rPr>
          <w:rFonts w:ascii="Times New Roman" w:eastAsia="Times New Roman" w:hAnsi="Times New Roman" w:cs="Times New Roman"/>
          <w:color w:val="111111"/>
          <w:sz w:val="28"/>
          <w:szCs w:val="28"/>
          <w:lang w:eastAsia="ru-RU"/>
        </w:rPr>
        <w:t> по форме согласно приложению 1 </w:t>
      </w:r>
      <w:hyperlink r:id="rId6" w:tgtFrame="_blank" w:history="1">
        <w:r w:rsidRPr="00D85AA9">
          <w:rPr>
            <w:rStyle w:val="a3"/>
            <w:rFonts w:ascii="Times New Roman" w:eastAsia="Times New Roman" w:hAnsi="Times New Roman" w:cs="Times New Roman"/>
            <w:sz w:val="28"/>
            <w:szCs w:val="28"/>
            <w:lang w:eastAsia="ru-RU"/>
          </w:rPr>
          <w:t>Положения</w:t>
        </w:r>
        <w:r w:rsidRPr="00D85AA9">
          <w:rPr>
            <w:rStyle w:val="a3"/>
            <w:rFonts w:ascii="Times New Roman" w:eastAsia="Times New Roman" w:hAnsi="Times New Roman" w:cs="Times New Roman"/>
            <w:sz w:val="28"/>
            <w:szCs w:val="28"/>
            <w:lang w:eastAsia="ru-RU"/>
          </w:rPr>
          <w:br/>
          <w:t>о целевой подготовке специалистов, рабочих, служащих</w:t>
        </w:r>
      </w:hyperlink>
      <w:r w:rsidRPr="00D85AA9">
        <w:rPr>
          <w:rFonts w:ascii="Times New Roman" w:eastAsia="Times New Roman" w:hAnsi="Times New Roman" w:cs="Times New Roman"/>
          <w:color w:val="111111"/>
          <w:sz w:val="28"/>
          <w:szCs w:val="28"/>
          <w:lang w:eastAsia="ru-RU"/>
        </w:rPr>
        <w:t> (утвержденного Постановлением Совета Министров Республики Беларусь от 22.06.2011 № 821 (в редакции от 28.01.2020 № 50)).</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bCs/>
          <w:iCs/>
          <w:color w:val="111111"/>
          <w:sz w:val="28"/>
          <w:szCs w:val="28"/>
          <w:lang w:eastAsia="ru-RU"/>
        </w:rPr>
        <w:t>Заявки на целевую подготовку специалистов</w:t>
      </w:r>
      <w:r w:rsidRPr="00D85AA9">
        <w:rPr>
          <w:rFonts w:ascii="Times New Roman" w:eastAsia="Times New Roman" w:hAnsi="Times New Roman" w:cs="Times New Roman"/>
          <w:color w:val="111111"/>
          <w:sz w:val="28"/>
          <w:szCs w:val="28"/>
          <w:lang w:eastAsia="ru-RU"/>
        </w:rPr>
        <w:t>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w:t>
      </w:r>
      <w:r w:rsidRPr="00D85AA9">
        <w:rPr>
          <w:rFonts w:ascii="Times New Roman" w:eastAsia="Times New Roman" w:hAnsi="Times New Roman" w:cs="Times New Roman"/>
          <w:bCs/>
          <w:iCs/>
          <w:color w:val="111111"/>
          <w:sz w:val="28"/>
          <w:szCs w:val="28"/>
          <w:lang w:eastAsia="ru-RU"/>
        </w:rPr>
        <w:t>по педагогическим специальностям</w:t>
      </w:r>
      <w:r w:rsidRPr="00D85AA9">
        <w:rPr>
          <w:rFonts w:ascii="Times New Roman" w:eastAsia="Times New Roman" w:hAnsi="Times New Roman" w:cs="Times New Roman"/>
          <w:color w:val="111111"/>
          <w:sz w:val="28"/>
          <w:szCs w:val="28"/>
          <w:lang w:eastAsia="ru-RU"/>
        </w:rPr>
        <w:t> – </w:t>
      </w:r>
      <w:r w:rsidRPr="00D85AA9">
        <w:rPr>
          <w:rFonts w:ascii="Times New Roman" w:eastAsia="Times New Roman" w:hAnsi="Times New Roman" w:cs="Times New Roman"/>
          <w:bCs/>
          <w:iCs/>
          <w:color w:val="111111"/>
          <w:sz w:val="28"/>
          <w:szCs w:val="28"/>
          <w:lang w:eastAsia="ru-RU"/>
        </w:rPr>
        <w:t>до 25</w:t>
      </w:r>
      <w:r>
        <w:rPr>
          <w:rFonts w:ascii="Times New Roman" w:eastAsia="Times New Roman" w:hAnsi="Times New Roman" w:cs="Times New Roman"/>
          <w:bCs/>
          <w:iCs/>
          <w:color w:val="111111"/>
          <w:sz w:val="28"/>
          <w:szCs w:val="28"/>
          <w:lang w:eastAsia="ru-RU"/>
        </w:rPr>
        <w:t>апреля.</w:t>
      </w:r>
      <w:r w:rsidRPr="00D85AA9">
        <w:rPr>
          <w:rFonts w:ascii="Times New Roman" w:eastAsia="Times New Roman" w:hAnsi="Times New Roman" w:cs="Times New Roman"/>
          <w:b/>
          <w:bCs/>
          <w:i/>
          <w:iCs/>
          <w:color w:val="111111"/>
          <w:sz w:val="28"/>
          <w:szCs w:val="28"/>
          <w:lang w:eastAsia="ru-RU"/>
        </w:rPr>
        <w:t xml:space="preserve"> </w:t>
      </w:r>
      <w:r w:rsidRPr="00D85AA9">
        <w:rPr>
          <w:rFonts w:ascii="Times New Roman" w:eastAsia="Times New Roman" w:hAnsi="Times New Roman" w:cs="Times New Roman"/>
          <w:color w:val="111111"/>
          <w:sz w:val="28"/>
          <w:szCs w:val="28"/>
          <w:lang w:eastAsia="ru-RU"/>
        </w:rPr>
        <w:t>Республиканские органы государственного управления, местные исполнительные и распорядительные органы, в подчинении которых находятся учреждения высшего образования, с учетом планируемого приема утверждают </w:t>
      </w:r>
      <w:r w:rsidRPr="00D85AA9">
        <w:rPr>
          <w:rFonts w:ascii="Times New Roman" w:eastAsia="Times New Roman" w:hAnsi="Times New Roman" w:cs="Times New Roman"/>
          <w:bCs/>
          <w:iCs/>
          <w:color w:val="111111"/>
          <w:sz w:val="28"/>
          <w:szCs w:val="28"/>
          <w:lang w:eastAsia="ru-RU"/>
        </w:rPr>
        <w:t>количество мест для получения образования на условиях целевой подготовки</w:t>
      </w:r>
      <w:r w:rsidRPr="00D85AA9">
        <w:rPr>
          <w:rFonts w:ascii="Times New Roman" w:eastAsia="Times New Roman" w:hAnsi="Times New Roman" w:cs="Times New Roman"/>
          <w:color w:val="111111"/>
          <w:sz w:val="28"/>
          <w:szCs w:val="28"/>
          <w:lang w:eastAsia="ru-RU"/>
        </w:rPr>
        <w:t> и доводят его до Министерства образования, учреждений образования и Заказчиков </w:t>
      </w:r>
      <w:r w:rsidRPr="00D85AA9">
        <w:rPr>
          <w:rFonts w:ascii="Times New Roman" w:eastAsia="Times New Roman" w:hAnsi="Times New Roman" w:cs="Times New Roman"/>
          <w:bCs/>
          <w:iCs/>
          <w:color w:val="111111"/>
          <w:sz w:val="28"/>
          <w:szCs w:val="28"/>
          <w:lang w:eastAsia="ru-RU"/>
        </w:rPr>
        <w:t>до 1 мая</w:t>
      </w:r>
      <w:r w:rsidRPr="00D85AA9">
        <w:rPr>
          <w:rFonts w:ascii="Times New Roman" w:eastAsia="Times New Roman" w:hAnsi="Times New Roman" w:cs="Times New Roman"/>
          <w:color w:val="111111"/>
          <w:sz w:val="28"/>
          <w:szCs w:val="28"/>
          <w:lang w:eastAsia="ru-RU"/>
        </w:rPr>
        <w:t>.</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color w:val="111111"/>
          <w:sz w:val="28"/>
          <w:szCs w:val="28"/>
          <w:lang w:eastAsia="ru-RU"/>
        </w:rPr>
        <w:t> </w:t>
      </w:r>
      <w:r w:rsidRPr="00D85AA9">
        <w:rPr>
          <w:rFonts w:ascii="Times New Roman" w:eastAsia="Times New Roman" w:hAnsi="Times New Roman" w:cs="Times New Roman"/>
          <w:bCs/>
          <w:iCs/>
          <w:color w:val="111111"/>
          <w:sz w:val="28"/>
          <w:szCs w:val="28"/>
          <w:lang w:eastAsia="ru-RU"/>
        </w:rPr>
        <w:t>Отбор абитуриентов для получения высшего образования на условиях целевой подготовки</w:t>
      </w:r>
      <w:r w:rsidRPr="00D85AA9">
        <w:rPr>
          <w:rFonts w:ascii="Times New Roman" w:eastAsia="Times New Roman" w:hAnsi="Times New Roman" w:cs="Times New Roman"/>
          <w:color w:val="111111"/>
          <w:sz w:val="28"/>
          <w:szCs w:val="28"/>
          <w:lang w:eastAsia="ru-RU"/>
        </w:rPr>
        <w:t> специалистов осуществляется Заказчиком из числа проживающих в Республике Беларусь выпускников учреждений общего среднего, среднего специального и профессионально-технического образования.</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bCs/>
          <w:iCs/>
          <w:color w:val="111111"/>
          <w:sz w:val="28"/>
          <w:szCs w:val="28"/>
          <w:lang w:eastAsia="ru-RU"/>
        </w:rPr>
        <w:t>Основанием для участия в конкурсе на место для получения высшего образования на условиях целевой подготовки</w:t>
      </w:r>
      <w:r w:rsidRPr="00D85AA9">
        <w:rPr>
          <w:rFonts w:ascii="Times New Roman" w:eastAsia="Times New Roman" w:hAnsi="Times New Roman" w:cs="Times New Roman"/>
          <w:color w:val="111111"/>
          <w:sz w:val="28"/>
          <w:szCs w:val="28"/>
          <w:lang w:eastAsia="ru-RU"/>
        </w:rPr>
        <w:t> специалистов является </w:t>
      </w:r>
      <w:r w:rsidRPr="00D85AA9">
        <w:rPr>
          <w:rFonts w:ascii="Times New Roman" w:eastAsia="Times New Roman" w:hAnsi="Times New Roman" w:cs="Times New Roman"/>
          <w:bCs/>
          <w:iCs/>
          <w:color w:val="111111"/>
          <w:sz w:val="28"/>
          <w:szCs w:val="28"/>
          <w:lang w:eastAsia="ru-RU"/>
        </w:rPr>
        <w:t>договор о целевой подготовке специалиста</w:t>
      </w:r>
      <w:r w:rsidRPr="00D85AA9">
        <w:rPr>
          <w:rFonts w:ascii="Times New Roman" w:eastAsia="Times New Roman" w:hAnsi="Times New Roman" w:cs="Times New Roman"/>
          <w:color w:val="111111"/>
          <w:sz w:val="28"/>
          <w:szCs w:val="28"/>
          <w:lang w:eastAsia="ru-RU"/>
        </w:rPr>
        <w:t> (рабочего, служащего), составленный по установленной форме </w:t>
      </w:r>
      <w:r w:rsidRPr="00D85AA9">
        <w:rPr>
          <w:rFonts w:ascii="Times New Roman" w:eastAsia="Times New Roman" w:hAnsi="Times New Roman" w:cs="Times New Roman"/>
          <w:bCs/>
          <w:iCs/>
          <w:color w:val="111111"/>
          <w:sz w:val="28"/>
          <w:szCs w:val="28"/>
          <w:lang w:eastAsia="ru-RU"/>
        </w:rPr>
        <w:t>в трех экземплярах и подписанный абитуриентом и Заказчиком</w:t>
      </w:r>
      <w:r w:rsidRPr="00D85AA9">
        <w:rPr>
          <w:rFonts w:ascii="Times New Roman" w:eastAsia="Times New Roman" w:hAnsi="Times New Roman" w:cs="Times New Roman"/>
          <w:color w:val="111111"/>
          <w:sz w:val="28"/>
          <w:szCs w:val="28"/>
          <w:lang w:eastAsia="ru-RU"/>
        </w:rPr>
        <w:t>.</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color w:val="111111"/>
          <w:sz w:val="28"/>
          <w:szCs w:val="28"/>
          <w:lang w:eastAsia="ru-RU"/>
        </w:rPr>
        <w:t> </w:t>
      </w:r>
      <w:r w:rsidRPr="00D85AA9">
        <w:rPr>
          <w:rFonts w:ascii="Times New Roman" w:eastAsia="Times New Roman" w:hAnsi="Times New Roman" w:cs="Times New Roman"/>
          <w:bCs/>
          <w:iCs/>
          <w:color w:val="111111"/>
          <w:sz w:val="28"/>
          <w:szCs w:val="28"/>
          <w:lang w:eastAsia="ru-RU"/>
        </w:rPr>
        <w:t>Количество заявлений</w:t>
      </w:r>
      <w:r w:rsidRPr="00D85AA9">
        <w:rPr>
          <w:rFonts w:ascii="Times New Roman" w:eastAsia="Times New Roman" w:hAnsi="Times New Roman" w:cs="Times New Roman"/>
          <w:color w:val="111111"/>
          <w:sz w:val="28"/>
          <w:szCs w:val="28"/>
          <w:lang w:eastAsia="ru-RU"/>
        </w:rPr>
        <w:t>,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w:t>
      </w:r>
      <w:r w:rsidRPr="00D85AA9">
        <w:rPr>
          <w:rFonts w:ascii="Times New Roman" w:eastAsia="Times New Roman" w:hAnsi="Times New Roman" w:cs="Times New Roman"/>
          <w:bCs/>
          <w:iCs/>
          <w:color w:val="111111"/>
          <w:sz w:val="28"/>
          <w:szCs w:val="28"/>
          <w:lang w:eastAsia="ru-RU"/>
        </w:rPr>
        <w:t>не ограничивается</w:t>
      </w:r>
      <w:r w:rsidRPr="00D85AA9">
        <w:rPr>
          <w:rFonts w:ascii="Times New Roman" w:eastAsia="Times New Roman" w:hAnsi="Times New Roman" w:cs="Times New Roman"/>
          <w:color w:val="111111"/>
          <w:sz w:val="28"/>
          <w:szCs w:val="28"/>
          <w:lang w:eastAsia="ru-RU"/>
        </w:rPr>
        <w:t xml:space="preserve">. При отсутствии конкурса на места для получения высшего образования на условиях целевой подготовки специалистов абитуриентам, которые поступают на общих основаниях, предоставляется право в установленные сроки приема документов подавать заявления для участия в конкурсе на места для получения высшего образования на условиях целевой подготовки </w:t>
      </w:r>
      <w:r w:rsidRPr="00D85AA9">
        <w:rPr>
          <w:rFonts w:ascii="Times New Roman" w:eastAsia="Times New Roman" w:hAnsi="Times New Roman" w:cs="Times New Roman"/>
          <w:color w:val="111111"/>
          <w:sz w:val="28"/>
          <w:szCs w:val="28"/>
          <w:lang w:eastAsia="ru-RU"/>
        </w:rPr>
        <w:lastRenderedPageBreak/>
        <w:t>специалистов при условии заключения между Заказчиком и абитуриентом договора о целевой подготовке специалиста (рабочего, служащего).</w:t>
      </w:r>
    </w:p>
    <w:p w:rsidR="00D85AA9" w:rsidRPr="00D85AA9" w:rsidRDefault="00D85AA9" w:rsidP="00D85AA9">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D85AA9">
        <w:rPr>
          <w:rFonts w:ascii="Times New Roman" w:eastAsia="Times New Roman" w:hAnsi="Times New Roman" w:cs="Times New Roman"/>
          <w:color w:val="111111"/>
          <w:sz w:val="28"/>
          <w:szCs w:val="28"/>
          <w:lang w:eastAsia="ru-RU"/>
        </w:rPr>
        <w:t>В случае, если конкурс на места для получения высшего образования на условиях целевой подготовки специалистов не обеспечен (менее одного человека на место), то </w:t>
      </w:r>
      <w:r w:rsidRPr="00D85AA9">
        <w:rPr>
          <w:rFonts w:ascii="Times New Roman" w:eastAsia="Times New Roman" w:hAnsi="Times New Roman" w:cs="Times New Roman"/>
          <w:bCs/>
          <w:iCs/>
          <w:color w:val="111111"/>
          <w:sz w:val="28"/>
          <w:szCs w:val="28"/>
          <w:lang w:eastAsia="ru-RU"/>
        </w:rPr>
        <w:t>оставшиеся вакантными места могут передаваться на общий конкурс</w:t>
      </w:r>
      <w:r w:rsidRPr="00D85AA9">
        <w:rPr>
          <w:rFonts w:ascii="Times New Roman" w:eastAsia="Times New Roman" w:hAnsi="Times New Roman" w:cs="Times New Roman"/>
          <w:color w:val="111111"/>
          <w:sz w:val="28"/>
          <w:szCs w:val="28"/>
          <w:lang w:eastAsia="ru-RU"/>
        </w:rPr>
        <w:t>.</w:t>
      </w:r>
    </w:p>
    <w:p w:rsidR="00D85AA9" w:rsidRPr="00004879" w:rsidRDefault="00D85AA9"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 xml:space="preserve">Выпускник, прошедший </w:t>
      </w:r>
      <w:proofErr w:type="gramStart"/>
      <w:r w:rsidRPr="00004879">
        <w:rPr>
          <w:rFonts w:ascii="Times New Roman" w:eastAsia="Times New Roman" w:hAnsi="Times New Roman" w:cs="Times New Roman"/>
          <w:color w:val="111111"/>
          <w:sz w:val="28"/>
          <w:szCs w:val="28"/>
          <w:lang w:eastAsia="ru-RU"/>
        </w:rPr>
        <w:t>обучение  по</w:t>
      </w:r>
      <w:proofErr w:type="gramEnd"/>
      <w:r w:rsidRPr="00004879">
        <w:rPr>
          <w:rFonts w:ascii="Times New Roman" w:eastAsia="Times New Roman" w:hAnsi="Times New Roman" w:cs="Times New Roman"/>
          <w:color w:val="111111"/>
          <w:sz w:val="28"/>
          <w:szCs w:val="28"/>
          <w:lang w:eastAsia="ru-RU"/>
        </w:rPr>
        <w:t xml:space="preserve"> договору о целевой подготовке, должен отработать у нанимателя:</w:t>
      </w:r>
    </w:p>
    <w:p w:rsidR="00D85AA9" w:rsidRPr="00004879" w:rsidRDefault="00D85AA9"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         после окончания высшего учебного заведения – </w:t>
      </w:r>
      <w:r w:rsidRPr="00004879">
        <w:rPr>
          <w:rFonts w:ascii="Times New Roman" w:eastAsia="Times New Roman" w:hAnsi="Times New Roman" w:cs="Times New Roman"/>
          <w:b/>
          <w:bCs/>
          <w:color w:val="111111"/>
          <w:sz w:val="28"/>
          <w:szCs w:val="28"/>
          <w:lang w:eastAsia="ru-RU"/>
        </w:rPr>
        <w:t>не менее 5 лет</w:t>
      </w:r>
      <w:r w:rsidRPr="00004879">
        <w:rPr>
          <w:rFonts w:ascii="Times New Roman" w:eastAsia="Times New Roman" w:hAnsi="Times New Roman" w:cs="Times New Roman"/>
          <w:color w:val="111111"/>
          <w:sz w:val="28"/>
          <w:szCs w:val="28"/>
          <w:lang w:eastAsia="ru-RU"/>
        </w:rPr>
        <w:t> (2 года установленного законодательством срока работы по распределению и не менее 3 лет по договору на целевую подготовку);</w:t>
      </w:r>
    </w:p>
    <w:p w:rsidR="00D85AA9" w:rsidRPr="00004879" w:rsidRDefault="00D85AA9"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после окончания среднего специального учебного заведения – </w:t>
      </w:r>
      <w:r w:rsidRPr="00004879">
        <w:rPr>
          <w:rFonts w:ascii="Times New Roman" w:eastAsia="Times New Roman" w:hAnsi="Times New Roman" w:cs="Times New Roman"/>
          <w:b/>
          <w:bCs/>
          <w:color w:val="111111"/>
          <w:sz w:val="28"/>
          <w:szCs w:val="28"/>
          <w:lang w:eastAsia="ru-RU"/>
        </w:rPr>
        <w:t>не менее 3 лет </w:t>
      </w:r>
      <w:r w:rsidRPr="00004879">
        <w:rPr>
          <w:rFonts w:ascii="Times New Roman" w:eastAsia="Times New Roman" w:hAnsi="Times New Roman" w:cs="Times New Roman"/>
          <w:color w:val="111111"/>
          <w:sz w:val="28"/>
          <w:szCs w:val="28"/>
          <w:lang w:eastAsia="ru-RU"/>
        </w:rPr>
        <w:t>(2 года установленного законодательством срока работы по распределению и не менее 1 года по договору на целевую подготовку).</w:t>
      </w:r>
    </w:p>
    <w:p w:rsidR="005B6DF0" w:rsidRPr="00004879" w:rsidRDefault="005B6DF0"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 xml:space="preserve">Договора оформляются в </w:t>
      </w:r>
      <w:proofErr w:type="gramStart"/>
      <w:r w:rsidRPr="00004879">
        <w:rPr>
          <w:rFonts w:ascii="Times New Roman" w:eastAsia="Times New Roman" w:hAnsi="Times New Roman" w:cs="Times New Roman"/>
          <w:color w:val="111111"/>
          <w:sz w:val="28"/>
          <w:szCs w:val="28"/>
          <w:lang w:eastAsia="ru-RU"/>
        </w:rPr>
        <w:t>управлении  образования</w:t>
      </w:r>
      <w:proofErr w:type="gramEnd"/>
      <w:r w:rsidRPr="00004879">
        <w:rPr>
          <w:rFonts w:ascii="Times New Roman" w:eastAsia="Times New Roman" w:hAnsi="Times New Roman" w:cs="Times New Roman"/>
          <w:color w:val="111111"/>
          <w:sz w:val="28"/>
          <w:szCs w:val="28"/>
          <w:lang w:eastAsia="ru-RU"/>
        </w:rPr>
        <w:t xml:space="preserve"> Гродненского райисполкома  после сдачи выпускных экзаменов в июне месяце.</w:t>
      </w:r>
    </w:p>
    <w:p w:rsidR="005B6DF0" w:rsidRPr="00004879" w:rsidRDefault="005B6DF0"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При заключении в установленном порядке договоров для абитуриентов в возрасте до 18 лет необходимо наличие письменного согласия родителей. Для оформления целевого договора необходима копия паспорта абитуриента, оригинал документа об обучении (аттестата), копия паспорта родителей, который будет подписывать согласие (в случае, если абитуриент не достиг совершеннолетнего возраста)</w:t>
      </w:r>
    </w:p>
    <w:p w:rsidR="005B6DF0" w:rsidRPr="00004879" w:rsidRDefault="005B6DF0"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По вопросам предоставления заявок на оформление целевых договоров необходимо обращаться в учреждение образования, в котором обучаются учащиеся, </w:t>
      </w:r>
      <w:r w:rsidRPr="00004879">
        <w:rPr>
          <w:rFonts w:ascii="Times New Roman" w:eastAsia="Times New Roman" w:hAnsi="Times New Roman" w:cs="Times New Roman"/>
          <w:b/>
          <w:bCs/>
          <w:color w:val="111111"/>
          <w:sz w:val="28"/>
          <w:szCs w:val="28"/>
          <w:lang w:eastAsia="ru-RU"/>
        </w:rPr>
        <w:t>до 1 апреля.</w:t>
      </w:r>
    </w:p>
    <w:p w:rsidR="005B6DF0" w:rsidRPr="00004879" w:rsidRDefault="005B6DF0" w:rsidP="005B6DF0">
      <w:pPr>
        <w:shd w:val="clear" w:color="auto" w:fill="FFFFFF"/>
        <w:spacing w:before="150" w:after="180" w:line="270" w:lineRule="atLeast"/>
        <w:jc w:val="both"/>
        <w:rPr>
          <w:rFonts w:ascii="Times New Roman" w:eastAsia="Times New Roman" w:hAnsi="Times New Roman" w:cs="Times New Roman"/>
          <w:color w:val="111111"/>
          <w:sz w:val="28"/>
          <w:szCs w:val="28"/>
          <w:lang w:eastAsia="ru-RU"/>
        </w:rPr>
      </w:pPr>
      <w:r w:rsidRPr="00004879">
        <w:rPr>
          <w:rFonts w:ascii="Times New Roman" w:eastAsia="Times New Roman" w:hAnsi="Times New Roman" w:cs="Times New Roman"/>
          <w:color w:val="111111"/>
          <w:sz w:val="28"/>
          <w:szCs w:val="28"/>
          <w:lang w:eastAsia="ru-RU"/>
        </w:rPr>
        <w:t xml:space="preserve">Дополнительную информацию и разъяснения можно получить в </w:t>
      </w:r>
      <w:proofErr w:type="gramStart"/>
      <w:r>
        <w:rPr>
          <w:rFonts w:ascii="Times New Roman" w:eastAsia="Times New Roman" w:hAnsi="Times New Roman" w:cs="Times New Roman"/>
          <w:color w:val="111111"/>
          <w:sz w:val="28"/>
          <w:szCs w:val="28"/>
          <w:lang w:eastAsia="ru-RU"/>
        </w:rPr>
        <w:t xml:space="preserve">управлении </w:t>
      </w:r>
      <w:r w:rsidRPr="00004879">
        <w:rPr>
          <w:rFonts w:ascii="Times New Roman" w:eastAsia="Times New Roman" w:hAnsi="Times New Roman" w:cs="Times New Roman"/>
          <w:color w:val="111111"/>
          <w:sz w:val="28"/>
          <w:szCs w:val="28"/>
          <w:lang w:eastAsia="ru-RU"/>
        </w:rPr>
        <w:t xml:space="preserve"> образования</w:t>
      </w:r>
      <w:proofErr w:type="gramEnd"/>
      <w:r>
        <w:rPr>
          <w:rFonts w:ascii="Times New Roman" w:eastAsia="Times New Roman" w:hAnsi="Times New Roman" w:cs="Times New Roman"/>
          <w:color w:val="111111"/>
          <w:sz w:val="28"/>
          <w:szCs w:val="28"/>
          <w:lang w:eastAsia="ru-RU"/>
        </w:rPr>
        <w:t xml:space="preserve"> Гродненского </w:t>
      </w:r>
      <w:r w:rsidRPr="00004879">
        <w:rPr>
          <w:rFonts w:ascii="Times New Roman" w:eastAsia="Times New Roman" w:hAnsi="Times New Roman" w:cs="Times New Roman"/>
          <w:color w:val="111111"/>
          <w:sz w:val="28"/>
          <w:szCs w:val="28"/>
          <w:lang w:eastAsia="ru-RU"/>
        </w:rPr>
        <w:t xml:space="preserve"> райисполкома.</w:t>
      </w:r>
    </w:p>
    <w:p w:rsidR="00EF37D5" w:rsidRDefault="00EF37D5" w:rsidP="00004879">
      <w:pPr>
        <w:shd w:val="clear" w:color="auto" w:fill="FFFFFF"/>
        <w:spacing w:before="150" w:after="180" w:line="270" w:lineRule="atLeast"/>
        <w:rPr>
          <w:rFonts w:ascii="Times New Roman" w:eastAsia="Times New Roman" w:hAnsi="Times New Roman" w:cs="Times New Roman"/>
          <w:color w:val="111111"/>
          <w:sz w:val="28"/>
          <w:szCs w:val="28"/>
          <w:lang w:eastAsia="ru-RU"/>
        </w:rPr>
      </w:pPr>
    </w:p>
    <w:p w:rsidR="00217CC0" w:rsidRPr="00004879" w:rsidRDefault="00EF37D5" w:rsidP="00EF37D5">
      <w:pPr>
        <w:rPr>
          <w:rFonts w:ascii="Times New Roman" w:hAnsi="Times New Roman" w:cs="Times New Roman"/>
          <w:sz w:val="28"/>
          <w:szCs w:val="28"/>
        </w:rPr>
      </w:pPr>
      <w:r w:rsidRPr="00EF37D5">
        <w:rPr>
          <w:rFonts w:ascii="Times New Roman" w:hAnsi="Times New Roman" w:cs="Times New Roman"/>
          <w:sz w:val="28"/>
          <w:szCs w:val="28"/>
        </w:rPr>
        <w:t>.</w:t>
      </w:r>
    </w:p>
    <w:sectPr w:rsidR="00217CC0" w:rsidRPr="00004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D704F"/>
    <w:multiLevelType w:val="multilevel"/>
    <w:tmpl w:val="C9D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79"/>
    <w:rsid w:val="00004879"/>
    <w:rsid w:val="00217CC0"/>
    <w:rsid w:val="005B6DF0"/>
    <w:rsid w:val="00853BC4"/>
    <w:rsid w:val="00D85AA9"/>
    <w:rsid w:val="00EF37D5"/>
    <w:rsid w:val="00FB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7E7F5-C76E-4AED-8A39-8503CF2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8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0973">
      <w:bodyDiv w:val="1"/>
      <w:marLeft w:val="0"/>
      <w:marRight w:val="0"/>
      <w:marTop w:val="0"/>
      <w:marBottom w:val="0"/>
      <w:divBdr>
        <w:top w:val="none" w:sz="0" w:space="0" w:color="auto"/>
        <w:left w:val="none" w:sz="0" w:space="0" w:color="auto"/>
        <w:bottom w:val="none" w:sz="0" w:space="0" w:color="auto"/>
        <w:right w:val="none" w:sz="0" w:space="0" w:color="auto"/>
      </w:divBdr>
      <w:divsChild>
        <w:div w:id="921567312">
          <w:marLeft w:val="0"/>
          <w:marRight w:val="0"/>
          <w:marTop w:val="0"/>
          <w:marBottom w:val="0"/>
          <w:divBdr>
            <w:top w:val="none" w:sz="0" w:space="0" w:color="auto"/>
            <w:left w:val="none" w:sz="0" w:space="0" w:color="auto"/>
            <w:bottom w:val="none" w:sz="0" w:space="0" w:color="auto"/>
            <w:right w:val="none" w:sz="0" w:space="0" w:color="auto"/>
          </w:divBdr>
        </w:div>
        <w:div w:id="2129659776">
          <w:marLeft w:val="0"/>
          <w:marRight w:val="0"/>
          <w:marTop w:val="0"/>
          <w:marBottom w:val="0"/>
          <w:divBdr>
            <w:top w:val="none" w:sz="0" w:space="0" w:color="auto"/>
            <w:left w:val="none" w:sz="0" w:space="0" w:color="auto"/>
            <w:bottom w:val="none" w:sz="0" w:space="0" w:color="auto"/>
            <w:right w:val="none" w:sz="0" w:space="0" w:color="auto"/>
          </w:divBdr>
        </w:div>
        <w:div w:id="1033265279">
          <w:marLeft w:val="0"/>
          <w:marRight w:val="0"/>
          <w:marTop w:val="0"/>
          <w:marBottom w:val="0"/>
          <w:divBdr>
            <w:top w:val="none" w:sz="0" w:space="0" w:color="auto"/>
            <w:left w:val="none" w:sz="0" w:space="0" w:color="auto"/>
            <w:bottom w:val="none" w:sz="0" w:space="0" w:color="auto"/>
            <w:right w:val="none" w:sz="0" w:space="0" w:color="auto"/>
          </w:divBdr>
        </w:div>
        <w:div w:id="511459977">
          <w:marLeft w:val="0"/>
          <w:marRight w:val="0"/>
          <w:marTop w:val="0"/>
          <w:marBottom w:val="0"/>
          <w:divBdr>
            <w:top w:val="none" w:sz="0" w:space="0" w:color="auto"/>
            <w:left w:val="none" w:sz="0" w:space="0" w:color="auto"/>
            <w:bottom w:val="none" w:sz="0" w:space="0" w:color="auto"/>
            <w:right w:val="none" w:sz="0" w:space="0" w:color="auto"/>
          </w:divBdr>
        </w:div>
        <w:div w:id="231501672">
          <w:marLeft w:val="0"/>
          <w:marRight w:val="0"/>
          <w:marTop w:val="0"/>
          <w:marBottom w:val="0"/>
          <w:divBdr>
            <w:top w:val="none" w:sz="0" w:space="0" w:color="auto"/>
            <w:left w:val="none" w:sz="0" w:space="0" w:color="auto"/>
            <w:bottom w:val="none" w:sz="0" w:space="0" w:color="auto"/>
            <w:right w:val="none" w:sz="0" w:space="0" w:color="auto"/>
          </w:divBdr>
        </w:div>
        <w:div w:id="305545935">
          <w:marLeft w:val="0"/>
          <w:marRight w:val="0"/>
          <w:marTop w:val="0"/>
          <w:marBottom w:val="0"/>
          <w:divBdr>
            <w:top w:val="none" w:sz="0" w:space="0" w:color="auto"/>
            <w:left w:val="none" w:sz="0" w:space="0" w:color="auto"/>
            <w:bottom w:val="none" w:sz="0" w:space="0" w:color="auto"/>
            <w:right w:val="none" w:sz="0" w:space="0" w:color="auto"/>
          </w:divBdr>
        </w:div>
        <w:div w:id="246184987">
          <w:marLeft w:val="0"/>
          <w:marRight w:val="0"/>
          <w:marTop w:val="0"/>
          <w:marBottom w:val="0"/>
          <w:divBdr>
            <w:top w:val="none" w:sz="0" w:space="0" w:color="auto"/>
            <w:left w:val="none" w:sz="0" w:space="0" w:color="auto"/>
            <w:bottom w:val="none" w:sz="0" w:space="0" w:color="auto"/>
            <w:right w:val="none" w:sz="0" w:space="0" w:color="auto"/>
          </w:divBdr>
        </w:div>
        <w:div w:id="938413078">
          <w:marLeft w:val="0"/>
          <w:marRight w:val="0"/>
          <w:marTop w:val="0"/>
          <w:marBottom w:val="0"/>
          <w:divBdr>
            <w:top w:val="none" w:sz="0" w:space="0" w:color="auto"/>
            <w:left w:val="none" w:sz="0" w:space="0" w:color="auto"/>
            <w:bottom w:val="none" w:sz="0" w:space="0" w:color="auto"/>
            <w:right w:val="none" w:sz="0" w:space="0" w:color="auto"/>
          </w:divBdr>
        </w:div>
        <w:div w:id="800658278">
          <w:marLeft w:val="0"/>
          <w:marRight w:val="0"/>
          <w:marTop w:val="0"/>
          <w:marBottom w:val="0"/>
          <w:divBdr>
            <w:top w:val="none" w:sz="0" w:space="0" w:color="auto"/>
            <w:left w:val="none" w:sz="0" w:space="0" w:color="auto"/>
            <w:bottom w:val="none" w:sz="0" w:space="0" w:color="auto"/>
            <w:right w:val="none" w:sz="0" w:space="0" w:color="auto"/>
          </w:divBdr>
        </w:div>
        <w:div w:id="954214484">
          <w:marLeft w:val="0"/>
          <w:marRight w:val="0"/>
          <w:marTop w:val="0"/>
          <w:marBottom w:val="0"/>
          <w:divBdr>
            <w:top w:val="none" w:sz="0" w:space="0" w:color="auto"/>
            <w:left w:val="none" w:sz="0" w:space="0" w:color="auto"/>
            <w:bottom w:val="none" w:sz="0" w:space="0" w:color="auto"/>
            <w:right w:val="none" w:sz="0" w:space="0" w:color="auto"/>
          </w:divBdr>
        </w:div>
        <w:div w:id="1025444135">
          <w:marLeft w:val="0"/>
          <w:marRight w:val="0"/>
          <w:marTop w:val="0"/>
          <w:marBottom w:val="0"/>
          <w:divBdr>
            <w:top w:val="none" w:sz="0" w:space="0" w:color="auto"/>
            <w:left w:val="none" w:sz="0" w:space="0" w:color="auto"/>
            <w:bottom w:val="none" w:sz="0" w:space="0" w:color="auto"/>
            <w:right w:val="none" w:sz="0" w:space="0" w:color="auto"/>
          </w:divBdr>
        </w:div>
        <w:div w:id="39597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it.grsu.by/images/documents/%D0%9F%D0%BE%D0%BB%D0%BE%D0%B6%D0%B5%D0%BD%D0%B8%D0%B5_%D0%BE_%D1%86%D0%B5%D0%BB%D0%B5%D0%B2%D0%BE%D0%B9_%D0%BF%D0%BE%D0%B4%D0%B3%D0%BE%D1%82%D0%BE%D0%B2%D0%BA%D0%B5_%D0%B2_%D1%80%D0%B5%D0%B4%D0%B0%D0%BA%D1%86%D0%B8%D0%B8_%D0%BE%D1%82_28.01.2020__50.pdf" TargetMode="External"/><Relationship Id="rId5" Type="http://schemas.openxmlformats.org/officeDocument/2006/relationships/hyperlink" Target="https://abit.grsu.by/view/21-vysshee/normativnye-dokumenty/1288-pravila-priema-lits-dlya-polucheniya-vysshego-obrazovaniya-i-stupen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cp:revision>
  <dcterms:created xsi:type="dcterms:W3CDTF">2022-01-25T10:17:00Z</dcterms:created>
  <dcterms:modified xsi:type="dcterms:W3CDTF">2022-01-25T10:17:00Z</dcterms:modified>
</cp:coreProperties>
</file>