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D4" w:rsidRDefault="009267F8">
      <w:pPr>
        <w:spacing w:after="72" w:line="259" w:lineRule="auto"/>
        <w:ind w:left="3653" w:right="0" w:firstLine="0"/>
        <w:jc w:val="center"/>
      </w:pPr>
      <w:r>
        <w:rPr>
          <w:sz w:val="28"/>
        </w:rPr>
        <w:t>УТВЕРЖДАЮ</w:t>
      </w:r>
    </w:p>
    <w:p w:rsidR="00CF7CD4" w:rsidRDefault="009267F8">
      <w:pPr>
        <w:spacing w:after="1061" w:line="220" w:lineRule="auto"/>
        <w:ind w:right="0" w:hanging="10"/>
        <w:jc w:val="left"/>
      </w:pPr>
      <w:r>
        <w:rPr>
          <w:sz w:val="28"/>
        </w:rPr>
        <w:t>Начальник отдела по образованию администрации</w:t>
      </w:r>
    </w:p>
    <w:p w:rsidR="00CF7CD4" w:rsidRDefault="009267F8" w:rsidP="00BC2466">
      <w:pPr>
        <w:spacing w:after="13" w:line="259" w:lineRule="auto"/>
        <w:ind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DC32B9" wp14:editId="25929EDA">
                <wp:simplePos x="0" y="0"/>
                <wp:positionH relativeFrom="column">
                  <wp:posOffset>3697473</wp:posOffset>
                </wp:positionH>
                <wp:positionV relativeFrom="paragraph">
                  <wp:posOffset>-634013</wp:posOffset>
                </wp:positionV>
                <wp:extent cx="2002670" cy="1021129"/>
                <wp:effectExtent l="0" t="0" r="0" b="0"/>
                <wp:wrapSquare wrapText="bothSides"/>
                <wp:docPr id="22610" name="Group 2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670" cy="1021129"/>
                          <a:chOff x="0" y="0"/>
                          <a:chExt cx="2002670" cy="1021129"/>
                        </a:xfrm>
                      </wpg:grpSpPr>
                      <pic:pic xmlns:pic="http://schemas.openxmlformats.org/drawingml/2006/picture">
                        <pic:nvPicPr>
                          <pic:cNvPr id="24046" name="Picture 240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8289"/>
                            <a:ext cx="1999623" cy="1002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3048" y="0"/>
                            <a:ext cx="728809" cy="22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CD4" w:rsidRDefault="009267F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sz w:val="28"/>
                                </w:rPr>
                                <w:t>Октяб</w:t>
                              </w:r>
                              <w:proofErr w:type="spellEnd"/>
                              <w:r>
                                <w:rPr>
                                  <w:spacing w:val="78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610" style="width:157.691pt;height:80.4038pt;position:absolute;mso-position-horizontal-relative:text;mso-position-horizontal:absolute;margin-left:291.14pt;mso-position-vertical-relative:text;margin-top:-49.9224pt;" coordsize="20026,10211">
                <v:shape id="Picture 24046" style="position:absolute;width:19996;height:10028;left:30;top:182;" filled="f">
                  <v:imagedata r:id="rId8"/>
                </v:shape>
                <v:rect id="Rectangle 50" style="position:absolute;width:7288;height:2270;left:3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  <w:sz w:val="28"/>
                          </w:rPr>
                          <w:t xml:space="preserve">Октяб</w:t>
                        </w:r>
                        <w:r>
                          <w:rPr>
                            <w:spacing w:val="78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BC2466">
        <w:t xml:space="preserve">             2021г</w:t>
      </w:r>
      <w:r>
        <w:t>.</w:t>
      </w:r>
    </w:p>
    <w:p w:rsidR="00CF7CD4" w:rsidRDefault="009267F8">
      <w:pPr>
        <w:spacing w:after="186" w:line="248" w:lineRule="auto"/>
        <w:ind w:left="164" w:right="811" w:hanging="10"/>
      </w:pPr>
      <w:r>
        <w:rPr>
          <w:sz w:val="32"/>
        </w:rPr>
        <w:t>ПОЛИТИКА</w:t>
      </w:r>
    </w:p>
    <w:p w:rsidR="00CF7CD4" w:rsidRDefault="009267F8">
      <w:pPr>
        <w:spacing w:after="203" w:line="248" w:lineRule="auto"/>
        <w:ind w:left="168" w:right="0" w:hanging="10"/>
      </w:pPr>
      <w:r>
        <w:rPr>
          <w:sz w:val="32"/>
        </w:rPr>
        <w:t xml:space="preserve">в отношении обработки персональных данных отдела по образованию администрации Октябрьского района Витебска </w:t>
      </w:r>
      <w:r>
        <w:rPr>
          <w:noProof/>
        </w:rPr>
        <w:drawing>
          <wp:inline distT="0" distB="0" distL="0" distR="0">
            <wp:extent cx="100591" cy="91444"/>
            <wp:effectExtent l="0" t="0" r="0" b="0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подведомственных ему учреждений</w:t>
      </w:r>
    </w:p>
    <w:p w:rsidR="00CF7CD4" w:rsidRDefault="009267F8">
      <w:pPr>
        <w:numPr>
          <w:ilvl w:val="0"/>
          <w:numId w:val="1"/>
        </w:numPr>
        <w:spacing w:after="15" w:line="248" w:lineRule="auto"/>
        <w:ind w:right="0" w:hanging="341"/>
      </w:pPr>
      <w:r>
        <w:rPr>
          <w:sz w:val="32"/>
        </w:rPr>
        <w:t>Общие положения</w:t>
      </w:r>
    </w:p>
    <w:p w:rsidR="00CF7CD4" w:rsidRDefault="009267F8">
      <w:pPr>
        <w:ind w:left="144" w:right="19"/>
      </w:pPr>
      <w:r>
        <w:t>1.1. Настоящая Политика в отношении обработки персональных данных разработана во исполнение требований абзаца 3 пункта 3 статьи 17 Закона Республики Беларусь от 07.05.2021 N 99-</w:t>
      </w:r>
      <w:proofErr w:type="gramStart"/>
      <w:r>
        <w:t>3 ”О</w:t>
      </w:r>
      <w:proofErr w:type="gramEnd"/>
      <w:r>
        <w:t xml:space="preserve"> защите персональных данных</w:t>
      </w:r>
      <w:r>
        <w:t>“ (далее — Закон о персональных данных) (далее — Политика) в целях обеспечения защиты прав и свобод граждан при обработке персональных данных.</w:t>
      </w:r>
    </w:p>
    <w:p w:rsidR="00CF7CD4" w:rsidRDefault="009267F8">
      <w:pPr>
        <w:ind w:left="149" w:right="19"/>
      </w:pPr>
      <w:r>
        <w:t>1</w:t>
      </w:r>
      <w:r w:rsidR="00BC2466">
        <w:t>.</w:t>
      </w:r>
      <w:r>
        <w:t>2. Операторами, которые будут осуществлять обработку персональных данных в соответствии с должностными полномочи</w:t>
      </w:r>
      <w:r>
        <w:t xml:space="preserve">ями, являются отдел по образованию администрации Октябрьского района г. Витебска (далее — отдел), а также подведомственные отделу учреждения (далее </w:t>
      </w:r>
      <w:r>
        <w:rPr>
          <w:noProof/>
        </w:rPr>
        <w:drawing>
          <wp:inline distT="0" distB="0" distL="0" distR="0">
            <wp:extent cx="106687" cy="15241"/>
            <wp:effectExtent l="0" t="0" r="0" b="0"/>
            <wp:docPr id="1344" name="Picture 1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Picture 13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операторы), с соответствующими юридическими адресами.</w:t>
      </w:r>
    </w:p>
    <w:p w:rsidR="00CF7CD4" w:rsidRDefault="009267F8">
      <w:pPr>
        <w:ind w:left="163" w:right="19"/>
      </w:pPr>
      <w:r>
        <w:t>1.3. Политика вступает в силу с 15 ноября 2021 г. и действует в отношении всех персональных данных, которые обрабатывают операторы.</w:t>
      </w:r>
    </w:p>
    <w:p w:rsidR="00CF7CD4" w:rsidRDefault="00BC2466">
      <w:pPr>
        <w:ind w:left="149" w:right="19"/>
      </w:pPr>
      <w:r>
        <w:t>1 .4</w:t>
      </w:r>
      <w:r w:rsidR="009267F8">
        <w:t>. Во исполнение требований пункта 4 статьи 17 Закона о персональных данных Политика публикуется в свободном доступе в инф</w:t>
      </w:r>
      <w:r w:rsidR="009267F8">
        <w:t>ормационно</w:t>
      </w:r>
      <w:r>
        <w:t>-</w:t>
      </w:r>
      <w:r w:rsidR="009267F8">
        <w:t>телекоммуникационной сети Интернет на сайтах операторов.</w:t>
      </w:r>
    </w:p>
    <w:p w:rsidR="00CF7CD4" w:rsidRDefault="00BC2466" w:rsidP="00BC2466">
      <w:pPr>
        <w:ind w:left="255" w:right="19" w:firstLine="0"/>
      </w:pPr>
      <w:r>
        <w:t>1</w:t>
      </w:r>
      <w:r w:rsidR="009267F8">
        <w:t>.5. Политика является локальным документом операторов. Операторы вправе, при необходимости, в одностороннем порядке вносить в Политику соответствующие изменения с последующим размещением По</w:t>
      </w:r>
      <w:r w:rsidR="009267F8">
        <w:t>литики в новой редакции на сайтах операторов.</w:t>
      </w:r>
    </w:p>
    <w:p w:rsidR="00CF7CD4" w:rsidRDefault="009267F8">
      <w:pPr>
        <w:ind w:left="154" w:right="19"/>
      </w:pPr>
      <w:r>
        <w:t xml:space="preserve">1.6. Субъекты самостоятельно получают на сайтах информацию об изменениях Политики. Согласие субъектов персональных данных на их </w:t>
      </w:r>
      <w:r>
        <w:lastRenderedPageBreak/>
        <w:t xml:space="preserve">обработку представляет собой свободное, однозначное, информированное выражение их </w:t>
      </w:r>
      <w:r>
        <w:t xml:space="preserve">воли, посредством которого они разрешают обработку своих персональных данных. Таким образом, в соответствии с гражданскими правоотношениями субъекты, предоставляя документы, </w:t>
      </w:r>
      <w:r>
        <w:t>содержащие персональные данные, а также сообщая устно сведения о себе, лицах, зако</w:t>
      </w:r>
      <w:r>
        <w:t xml:space="preserve">нными представителями которых они являются (далее </w:t>
      </w:r>
      <w:r>
        <w:rPr>
          <w:noProof/>
        </w:rPr>
        <w:drawing>
          <wp:inline distT="0" distB="0" distL="0" distR="0">
            <wp:extent cx="100591" cy="12193"/>
            <wp:effectExtent l="0" t="0" r="0" b="0"/>
            <wp:docPr id="28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зависимые лица), близких родственниках (не выразив несогласие операторам их предоставлять и сообщать), соглашаются на обработку таких данных операторами в соответствии с законодательством. Также, не вырази</w:t>
      </w:r>
      <w:r>
        <w:t>в операторам несогласие на ведение аудиозаписей и видеосъемок в своем присутствии, присутствии зависимых лиц, субъекты, фактически, дают согласие на обработку персональных данных, полученных в процессе аудиозаписей и видеосъемок (</w:t>
      </w:r>
      <w:proofErr w:type="gramStart"/>
      <w:r>
        <w:t>о таковых субъекты</w:t>
      </w:r>
      <w:proofErr w:type="gramEnd"/>
      <w:r>
        <w:t xml:space="preserve"> надлежа</w:t>
      </w:r>
      <w:r>
        <w:t>щим образом должны быть уведомлены операторами: путем размещения табличек в общем доступе или иными установленными законодательством способами). В вышеуказанных случаях письменного согласия субъектов на обработку их персональных данных, а также персональны</w:t>
      </w:r>
      <w:r>
        <w:t>х данных зависимых лиц не требуется.</w:t>
      </w:r>
    </w:p>
    <w:p w:rsidR="00CF7CD4" w:rsidRDefault="00BC2466">
      <w:pPr>
        <w:spacing w:after="210"/>
        <w:ind w:left="19" w:right="19"/>
      </w:pPr>
      <w:r>
        <w:t>1 7</w:t>
      </w:r>
      <w:r w:rsidR="009267F8">
        <w:t>. Основные понятия, используемые в Политике:</w:t>
      </w:r>
    </w:p>
    <w:p w:rsidR="00CF7CD4" w:rsidRDefault="009267F8">
      <w:pPr>
        <w:spacing w:after="232"/>
        <w:ind w:left="19" w:right="149"/>
      </w:pPr>
      <w:r w:rsidRPr="00BC2466">
        <w:rPr>
          <w:b/>
        </w:rPr>
        <w:t>персональные данные</w:t>
      </w:r>
      <w:r>
        <w:t xml:space="preserve"> </w:t>
      </w:r>
      <w:r w:rsidR="00BC2466">
        <w:t>-</w:t>
      </w:r>
      <w:r>
        <w:t>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CF7CD4" w:rsidRDefault="009267F8">
      <w:pPr>
        <w:ind w:left="19" w:right="19"/>
      </w:pPr>
      <w:r w:rsidRPr="00BC2466">
        <w:rPr>
          <w:b/>
        </w:rPr>
        <w:t>субъекты персональных д</w:t>
      </w:r>
      <w:r w:rsidRPr="00BC2466">
        <w:rPr>
          <w:b/>
        </w:rPr>
        <w:t>анных</w:t>
      </w:r>
      <w:r w:rsidR="00BC2466">
        <w:t>-</w:t>
      </w:r>
      <w:r>
        <w:t xml:space="preserve"> физические лица, в отношении которых осуществляется обработка персональных данных;</w:t>
      </w:r>
    </w:p>
    <w:p w:rsidR="00CF7CD4" w:rsidRDefault="009267F8">
      <w:pPr>
        <w:spacing w:after="219"/>
        <w:ind w:left="19" w:right="154"/>
      </w:pPr>
      <w:r w:rsidRPr="00BC2466">
        <w:rPr>
          <w:b/>
        </w:rPr>
        <w:t>оператор персональных данных</w:t>
      </w:r>
      <w:r>
        <w:t xml:space="preserve"> — государственный орган, юридическое лицо Республики Беларусь, иная организация, физическое лицо, в том числе индивидуальный предпринимате</w:t>
      </w:r>
      <w:r>
        <w:t>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CF7CD4" w:rsidRDefault="009267F8">
      <w:pPr>
        <w:ind w:left="19" w:right="149"/>
      </w:pPr>
      <w:r w:rsidRPr="00BC2466">
        <w:rPr>
          <w:b/>
        </w:rPr>
        <w:t>обработка персональных данных</w:t>
      </w:r>
      <w:r w:rsidR="00BC2466">
        <w:t>-</w:t>
      </w:r>
      <w:r>
        <w:t xml:space="preserve"> любое действие (операция) или совокупность действий (операций) с персональными данными, совершаемых </w:t>
      </w:r>
      <w:r>
        <w:t>с использованием средств автоматизации или без их использования. Обработка персональных данных включает в себя в том числе:</w:t>
      </w:r>
    </w:p>
    <w:p w:rsidR="00BC2466" w:rsidRDefault="009267F8">
      <w:pPr>
        <w:spacing w:after="57" w:line="359" w:lineRule="auto"/>
        <w:ind w:left="19" w:right="7546" w:firstLine="0"/>
        <w:jc w:val="left"/>
      </w:pPr>
      <w:r>
        <w:t xml:space="preserve">сбор; </w:t>
      </w:r>
    </w:p>
    <w:p w:rsidR="00CF7CD4" w:rsidRDefault="009267F8" w:rsidP="00BC2466">
      <w:pPr>
        <w:spacing w:after="57" w:line="359" w:lineRule="auto"/>
        <w:ind w:left="19" w:right="7546" w:firstLine="0"/>
        <w:jc w:val="left"/>
      </w:pPr>
      <w:r>
        <w:lastRenderedPageBreak/>
        <w:t>запись; систематизацию; накопление; хранение; уточнение (обновление, изменение); извл</w:t>
      </w:r>
      <w:r w:rsidR="00BC2466">
        <w:t xml:space="preserve">ечение; использование; передачу </w:t>
      </w:r>
      <w:r>
        <w:t>обезличивание; блокирование; удаление; уничтожение;</w:t>
      </w:r>
    </w:p>
    <w:p w:rsidR="00CF7CD4" w:rsidRDefault="009267F8">
      <w:pPr>
        <w:ind w:left="19" w:right="19"/>
      </w:pPr>
      <w:r w:rsidRPr="00BC2466">
        <w:rPr>
          <w:b/>
        </w:rPr>
        <w:t>автоматизированная обработка персональных данных</w:t>
      </w:r>
      <w:r>
        <w:t xml:space="preserve"> </w:t>
      </w:r>
      <w:r w:rsidR="00BC2466">
        <w:t>-</w:t>
      </w:r>
      <w:r>
        <w:t>обработка персональных данных с помощью средств компьютерной техники;</w:t>
      </w:r>
    </w:p>
    <w:p w:rsidR="00CF7CD4" w:rsidRDefault="009267F8">
      <w:pPr>
        <w:ind w:left="19" w:right="19"/>
      </w:pPr>
      <w:r w:rsidRPr="00BC2466">
        <w:rPr>
          <w:b/>
        </w:rPr>
        <w:t>распространение персональных данных</w:t>
      </w:r>
      <w:r>
        <w:t xml:space="preserve"> — действия, нап</w:t>
      </w:r>
      <w:r>
        <w:t>равленные на раскрытие персональных данных неопределенному кругу лиц;</w:t>
      </w:r>
    </w:p>
    <w:p w:rsidR="00CF7CD4" w:rsidRDefault="009267F8">
      <w:pPr>
        <w:spacing w:after="241"/>
        <w:ind w:left="19" w:right="144"/>
      </w:pPr>
      <w:r w:rsidRPr="00BC2466">
        <w:rPr>
          <w:b/>
        </w:rPr>
        <w:t>предоставление персональных данных</w:t>
      </w:r>
      <w:r>
        <w:t xml:space="preserve"> — действия, направленные на ознакомление с персональными данными определенных лица или круга лиц;</w:t>
      </w:r>
    </w:p>
    <w:p w:rsidR="00CF7CD4" w:rsidRDefault="009267F8">
      <w:pPr>
        <w:spacing w:after="247"/>
        <w:ind w:left="19" w:right="19"/>
      </w:pPr>
      <w:r w:rsidRPr="00BC2466">
        <w:rPr>
          <w:b/>
        </w:rPr>
        <w:t>блокирование персональных данных</w:t>
      </w:r>
      <w:r w:rsidR="00BC2466">
        <w:t>-</w:t>
      </w:r>
      <w:r>
        <w:t xml:space="preserve"> прекращение доступа к персональным данным без их удаления;</w:t>
      </w:r>
    </w:p>
    <w:p w:rsidR="00CF7CD4" w:rsidRDefault="009267F8">
      <w:pPr>
        <w:ind w:left="19" w:right="149"/>
      </w:pPr>
      <w:r w:rsidRPr="00BC2466">
        <w:rPr>
          <w:b/>
        </w:rPr>
        <w:t>удаление персональных данных</w:t>
      </w:r>
      <w:r>
        <w:t xml:space="preserve"> </w:t>
      </w:r>
      <w:r w:rsidR="00BC2466">
        <w:t>-</w:t>
      </w:r>
      <w:r>
        <w:t>действия, в результате которых становится невозможным восстановить содержание персональных данных в информационной системе персональных</w:t>
      </w:r>
      <w:r>
        <w:t xml:space="preserve"> данных и (или) в результате которых уничтожаются материальные носители персональных данных;</w:t>
      </w:r>
    </w:p>
    <w:p w:rsidR="00CF7CD4" w:rsidRDefault="009267F8">
      <w:pPr>
        <w:spacing w:after="232"/>
        <w:ind w:left="19" w:right="154"/>
      </w:pPr>
      <w:r w:rsidRPr="00BC2466">
        <w:rPr>
          <w:b/>
        </w:rPr>
        <w:t>обезличивание персональных данных</w:t>
      </w:r>
      <w: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</w:t>
      </w:r>
      <w:r>
        <w:t>сональных данных конкретным субъектам персональных данных;</w:t>
      </w:r>
    </w:p>
    <w:p w:rsidR="00CF7CD4" w:rsidRDefault="009267F8">
      <w:pPr>
        <w:ind w:left="19" w:right="158"/>
      </w:pPr>
      <w:r w:rsidRPr="00BC2466">
        <w:rPr>
          <w:b/>
        </w:rPr>
        <w:lastRenderedPageBreak/>
        <w:t>информационная система персональных данных</w:t>
      </w:r>
      <w:r w:rsidR="00BC2466">
        <w:t>-</w:t>
      </w:r>
      <w: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F7CD4" w:rsidRDefault="009267F8">
      <w:pPr>
        <w:ind w:left="19" w:right="19"/>
      </w:pPr>
      <w:r>
        <w:t xml:space="preserve">1.8. Основные </w:t>
      </w:r>
      <w:r>
        <w:t>права и обязанности операторов.</w:t>
      </w:r>
    </w:p>
    <w:p w:rsidR="00CF7CD4" w:rsidRDefault="009267F8">
      <w:pPr>
        <w:spacing w:after="202"/>
        <w:ind w:left="19" w:right="19"/>
      </w:pPr>
      <w:r>
        <w:t>1.8.1. Операторы имеют право:</w:t>
      </w:r>
    </w:p>
    <w:p w:rsidR="00CF7CD4" w:rsidRDefault="009267F8">
      <w:pPr>
        <w:numPr>
          <w:ilvl w:val="0"/>
          <w:numId w:val="3"/>
        </w:numPr>
        <w:spacing w:after="217"/>
        <w:ind w:right="84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</w:t>
      </w:r>
      <w:r>
        <w:t xml:space="preserve"> нормативными правовыми актами, если иное не предусмотрено законодательством;</w:t>
      </w:r>
    </w:p>
    <w:p w:rsidR="00CF7CD4" w:rsidRDefault="009267F8">
      <w:pPr>
        <w:numPr>
          <w:ilvl w:val="0"/>
          <w:numId w:val="3"/>
        </w:numPr>
        <w:ind w:right="84"/>
      </w:pPr>
      <w:r>
        <w:t>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</w:t>
      </w:r>
      <w:r>
        <w:t xml:space="preserve"> персональных данных по поручению операторов, обязано соблюдать принципы и правила обработки персональных данных, предусмотренные Законом о персональных данных;</w:t>
      </w:r>
    </w:p>
    <w:p w:rsidR="00CF7CD4" w:rsidRDefault="00BC2466">
      <w:pPr>
        <w:ind w:left="19" w:right="154"/>
      </w:pPr>
      <w:r>
        <w:t>3</w:t>
      </w:r>
      <w:r w:rsidR="009267F8">
        <w:t>) в случае отзыва субъектами персональных данных согласия на обработку персональных данных опе</w:t>
      </w:r>
      <w:r w:rsidR="009267F8">
        <w:t>раторы вправе продолжить обработку персональных данных без согласия субъектов персональных данных при наличии оснований, указанных в Законе о персональных данных;</w:t>
      </w:r>
    </w:p>
    <w:p w:rsidR="00CF7CD4" w:rsidRDefault="009267F8">
      <w:pPr>
        <w:numPr>
          <w:ilvl w:val="0"/>
          <w:numId w:val="4"/>
        </w:numPr>
        <w:ind w:right="91"/>
      </w:pPr>
      <w:r>
        <w:t>осуществлять проверку точности, достоверности и актуальности предоставляемых персональных данных в случаях, объеме и порядке, предусмотренных законодательством;</w:t>
      </w:r>
    </w:p>
    <w:p w:rsidR="00CF7CD4" w:rsidRDefault="009267F8">
      <w:pPr>
        <w:numPr>
          <w:ilvl w:val="0"/>
          <w:numId w:val="4"/>
        </w:numPr>
        <w:ind w:right="91"/>
      </w:pPr>
      <w:r>
        <w:t>использовать в служебных целях;</w:t>
      </w:r>
    </w:p>
    <w:p w:rsidR="00CF7CD4" w:rsidRDefault="009267F8">
      <w:pPr>
        <w:ind w:left="19" w:right="19"/>
      </w:pPr>
      <w:r>
        <w:t>5) реализовывать иные права в соответствии с законодательством.</w:t>
      </w:r>
    </w:p>
    <w:p w:rsidR="00CF7CD4" w:rsidRDefault="009267F8">
      <w:pPr>
        <w:ind w:left="19" w:right="19"/>
      </w:pPr>
      <w:r>
        <w:t>1.8.2. Операторы обязаны:</w:t>
      </w:r>
    </w:p>
    <w:p w:rsidR="00CF7CD4" w:rsidRDefault="009267F8">
      <w:pPr>
        <w:numPr>
          <w:ilvl w:val="0"/>
          <w:numId w:val="5"/>
        </w:numPr>
        <w:ind w:right="19"/>
      </w:pPr>
      <w:r>
        <w:t>организовывать обработку персональных данных в соответствии с требованиями Закона о персональных данных;</w:t>
      </w:r>
    </w:p>
    <w:p w:rsidR="00CF7CD4" w:rsidRDefault="009267F8">
      <w:pPr>
        <w:numPr>
          <w:ilvl w:val="0"/>
          <w:numId w:val="5"/>
        </w:numPr>
        <w:ind w:right="19"/>
      </w:pPr>
      <w:r>
        <w:t>отвечать на обращения и запросы субъектов персональных данных в соответствии с требованиями Закона о персональных данных;</w:t>
      </w:r>
    </w:p>
    <w:p w:rsidR="00CF7CD4" w:rsidRDefault="009267F8">
      <w:pPr>
        <w:numPr>
          <w:ilvl w:val="0"/>
          <w:numId w:val="5"/>
        </w:numPr>
        <w:ind w:right="19"/>
      </w:pPr>
      <w:r>
        <w:t>со</w:t>
      </w:r>
      <w:r>
        <w:t>общать в уполномоченные органы по защите прав субъектов персональных данных о нарушениях системы защиты персональных данных незамедлительно, но не позднее трех рабочих дней после того, как операторам стало известно о таких нарушениях;</w:t>
      </w:r>
    </w:p>
    <w:p w:rsidR="00CF7CD4" w:rsidRDefault="009267F8">
      <w:pPr>
        <w:numPr>
          <w:ilvl w:val="0"/>
          <w:numId w:val="5"/>
        </w:numPr>
        <w:ind w:right="19"/>
      </w:pPr>
      <w:r>
        <w:lastRenderedPageBreak/>
        <w:t>исполнять требования уполномоченных органов по защите прав субъектов персональных данных об устранении нарушений законодательства о персональных данных;</w:t>
      </w:r>
    </w:p>
    <w:p w:rsidR="00CF7CD4" w:rsidRDefault="009267F8">
      <w:pPr>
        <w:numPr>
          <w:ilvl w:val="0"/>
          <w:numId w:val="5"/>
        </w:numPr>
        <w:ind w:right="19"/>
      </w:pPr>
      <w:r>
        <w:t>использовать персональные данные субъектов в служебных целях;</w:t>
      </w:r>
    </w:p>
    <w:p w:rsidR="00CF7CD4" w:rsidRDefault="009267F8">
      <w:pPr>
        <w:numPr>
          <w:ilvl w:val="0"/>
          <w:numId w:val="5"/>
        </w:numPr>
        <w:ind w:right="19"/>
      </w:pPr>
      <w:r>
        <w:t>нести ответственность за нарушение требов</w:t>
      </w:r>
      <w:r>
        <w:t>аний законодательства Республики Беларусь и локальных правовых актов операторов в сфере обработки и защиты персональных данных, определенную в соответствии с законодательством Республики Беларусь;</w:t>
      </w:r>
    </w:p>
    <w:p w:rsidR="00CF7CD4" w:rsidRDefault="009267F8">
      <w:pPr>
        <w:numPr>
          <w:ilvl w:val="0"/>
          <w:numId w:val="5"/>
        </w:numPr>
        <w:spacing w:after="220"/>
        <w:ind w:right="19"/>
      </w:pPr>
      <w:r>
        <w:t>использовать персональные данные субъектов только в целях</w:t>
      </w:r>
      <w:r>
        <w:t>, предусмотренных пунктом 2 настоящей Политики.</w:t>
      </w:r>
    </w:p>
    <w:p w:rsidR="00CF7CD4" w:rsidRDefault="009267F8">
      <w:pPr>
        <w:ind w:left="19" w:right="19"/>
      </w:pPr>
      <w:r>
        <w:t>1.9. Субъекты персональных данных имеют право:</w:t>
      </w:r>
    </w:p>
    <w:p w:rsidR="00CF7CD4" w:rsidRDefault="009267F8">
      <w:pPr>
        <w:numPr>
          <w:ilvl w:val="0"/>
          <w:numId w:val="6"/>
        </w:numPr>
        <w:ind w:right="149"/>
      </w:pPr>
      <w:r>
        <w:t>получать информацию, касающуюся обработки их персональных данных, персональных данных зависимых лиц, за исключением случаев, предусмотренных законодательством. С</w:t>
      </w:r>
      <w:r>
        <w:t>ведения предоставляются субъектам персональных данных операторами в доступной форме, и в них не должны содержаться персональные данные, относящиеся к другим субъектам персональных данных, зависимых лиц, за исключением случаев, когда имеются законные основа</w:t>
      </w:r>
      <w:r>
        <w:t>ния для раскрытия таких персональных данных. Перечень информации и порядок ее получения установлены Законом о персональных данных;</w:t>
      </w:r>
    </w:p>
    <w:p w:rsidR="00CF7CD4" w:rsidRDefault="009267F8">
      <w:pPr>
        <w:numPr>
          <w:ilvl w:val="0"/>
          <w:numId w:val="6"/>
        </w:numPr>
        <w:ind w:right="149"/>
      </w:pPr>
      <w:r>
        <w:t>требовать от операторов внесения дополнительных персональных данных в обрабатываемые персональные данные в случае, если персо</w:t>
      </w:r>
      <w:r>
        <w:t>нальные данные субъектов являются неполными, устаревшими, неточными;</w:t>
      </w:r>
    </w:p>
    <w:p w:rsidR="00CF7CD4" w:rsidRDefault="009267F8">
      <w:pPr>
        <w:numPr>
          <w:ilvl w:val="0"/>
          <w:numId w:val="6"/>
        </w:numPr>
        <w:ind w:right="149"/>
      </w:pPr>
      <w:r>
        <w:t>получать информацию о предоставлении их персональных данных третьим лицам, за исключением случаев, предусмотренных законодательством Республики Беларусь;</w:t>
      </w:r>
    </w:p>
    <w:p w:rsidR="00CF7CD4" w:rsidRDefault="009267F8">
      <w:pPr>
        <w:numPr>
          <w:ilvl w:val="0"/>
          <w:numId w:val="6"/>
        </w:numPr>
        <w:ind w:right="149"/>
      </w:pPr>
      <w:r>
        <w:t>в любое время без объяснения прич</w:t>
      </w:r>
      <w:r>
        <w:t>ин отозвать свое согласие на обработку персональных данных; отказаться от обработки персональных данных операторами;</w:t>
      </w:r>
    </w:p>
    <w:p w:rsidR="00CF7CD4" w:rsidRDefault="009267F8">
      <w:pPr>
        <w:numPr>
          <w:ilvl w:val="0"/>
          <w:numId w:val="6"/>
        </w:numPr>
        <w:spacing w:after="212"/>
        <w:ind w:right="149"/>
      </w:pPr>
      <w:r>
        <w:t>требовать от операторов блокирования или удаления обрабатываемых персональных данных, если они незаконно получены или не являются необходим</w:t>
      </w:r>
      <w:r>
        <w:t>ыми для заявленной цели обработки, а также принимать предусмотренные законом меры по защите своих прав;</w:t>
      </w:r>
    </w:p>
    <w:p w:rsidR="00CF7CD4" w:rsidRDefault="009267F8">
      <w:pPr>
        <w:numPr>
          <w:ilvl w:val="0"/>
          <w:numId w:val="6"/>
        </w:numPr>
        <w:ind w:right="149"/>
      </w:pPr>
      <w:r>
        <w:lastRenderedPageBreak/>
        <w:t>обжаловать действия (бездействие) и решения операторов, нарушающие их права при обработке персональных данных, в уполномоченные органы по защите прав су</w:t>
      </w:r>
      <w:r>
        <w:t>бъектов персональных данных в порядке, установленном законодательством об обращениях граждан и юридических лиц.</w:t>
      </w:r>
    </w:p>
    <w:p w:rsidR="00CF7CD4" w:rsidRDefault="009267F8">
      <w:pPr>
        <w:numPr>
          <w:ilvl w:val="1"/>
          <w:numId w:val="7"/>
        </w:numPr>
        <w:spacing w:after="150"/>
        <w:ind w:right="86"/>
      </w:pPr>
      <w:r>
        <w:t>Субъекты персональных данных несут ответственность за точность, достоверность, актуальность и избирательность предоставляемых персональных данны</w:t>
      </w:r>
      <w:r>
        <w:t>х в соответствии с законодательством Республики Беларусь.</w:t>
      </w:r>
    </w:p>
    <w:p w:rsidR="00CF7CD4" w:rsidRDefault="009267F8">
      <w:pPr>
        <w:numPr>
          <w:ilvl w:val="1"/>
          <w:numId w:val="7"/>
        </w:numPr>
        <w:spacing w:after="293"/>
        <w:ind w:right="86"/>
      </w:pPr>
      <w:r>
        <w:t>Ответственность за нарушение требований законодательства Республики Беларусь и локальных правовых актов операторов в сфере обработки и защиты персональных данных определяется в соответствии с законо</w:t>
      </w:r>
      <w:r>
        <w:t>дательством Республики Беларусь.</w:t>
      </w:r>
    </w:p>
    <w:p w:rsidR="00CF7CD4" w:rsidRDefault="009267F8">
      <w:pPr>
        <w:spacing w:after="255" w:line="248" w:lineRule="auto"/>
        <w:ind w:left="403" w:right="0" w:hanging="10"/>
      </w:pPr>
      <w:r>
        <w:rPr>
          <w:sz w:val="32"/>
        </w:rPr>
        <w:t>2. Цели сбора операторами персональных данных</w:t>
      </w:r>
    </w:p>
    <w:p w:rsidR="00CF7CD4" w:rsidRDefault="009267F8">
      <w:pPr>
        <w:numPr>
          <w:ilvl w:val="1"/>
          <w:numId w:val="8"/>
        </w:numPr>
        <w:spacing w:after="197" w:line="251" w:lineRule="auto"/>
        <w:ind w:right="19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F7CD4" w:rsidRDefault="009267F8">
      <w:pPr>
        <w:numPr>
          <w:ilvl w:val="1"/>
          <w:numId w:val="8"/>
        </w:numPr>
        <w:spacing w:after="215"/>
        <w:ind w:right="19"/>
      </w:pPr>
      <w:r>
        <w:t>Обработке подлежат только персональные данные, котор</w:t>
      </w:r>
      <w:r>
        <w:t>ые отвечают целям их обработки.</w:t>
      </w:r>
    </w:p>
    <w:p w:rsidR="00CF7CD4" w:rsidRDefault="009267F8">
      <w:pPr>
        <w:numPr>
          <w:ilvl w:val="1"/>
          <w:numId w:val="8"/>
        </w:numPr>
        <w:ind w:right="19"/>
      </w:pPr>
      <w:r>
        <w:t>Обработка операторами персональных данных осуществляется в целях:</w:t>
      </w:r>
    </w:p>
    <w:p w:rsidR="00CF7CD4" w:rsidRDefault="009267F8">
      <w:pPr>
        <w:spacing w:after="116" w:line="306" w:lineRule="auto"/>
        <w:ind w:left="19" w:right="139"/>
      </w:pPr>
      <w:r>
        <w:t>осуществления деятельности в соответствии с положениями, уставами и иными локальными документами операторов; заключения и исполнения договоров;</w:t>
      </w:r>
    </w:p>
    <w:p w:rsidR="00CF7CD4" w:rsidRDefault="009267F8">
      <w:pPr>
        <w:spacing w:after="57" w:line="329" w:lineRule="auto"/>
        <w:ind w:left="19" w:right="0" w:firstLine="0"/>
        <w:jc w:val="left"/>
      </w:pPr>
      <w:r>
        <w:t>формирования б</w:t>
      </w:r>
      <w:r>
        <w:t>аз данных несовершеннолетних в соответствии с законодательством; организации образовательного процесса; организации пропускного режима и безопасности граждан;</w:t>
      </w:r>
    </w:p>
    <w:p w:rsidR="00CF7CD4" w:rsidRDefault="009267F8" w:rsidP="00BC2466">
      <w:pPr>
        <w:spacing w:line="351" w:lineRule="auto"/>
        <w:ind w:left="19" w:right="134"/>
      </w:pPr>
      <w:r>
        <w:t>рассмотрения обращений граждан и юридических лиц, исполнения административных процедур; организац</w:t>
      </w:r>
      <w:r>
        <w:t xml:space="preserve">ии приема на работу и исполнения трудового законодательства; проверки деклараций о доходах и имуществе; ведения воинского учета; ведения бухгалтерского учета; осуществления государственного социального страхования; аттестации работников; </w:t>
      </w:r>
      <w:r>
        <w:lastRenderedPageBreak/>
        <w:t>рассмотрения споро</w:t>
      </w:r>
      <w:r>
        <w:t>в, подготовки к судебным заседаниям; защиты прав и законных интересов несовершеннолетних; расследования несчастных случаев; предоставления статистических данных и иной отчетности;</w:t>
      </w:r>
    </w:p>
    <w:p w:rsidR="00BC2466" w:rsidRDefault="00BC2466" w:rsidP="00BC2466">
      <w:pPr>
        <w:spacing w:after="308"/>
        <w:ind w:left="19" w:right="19"/>
      </w:pPr>
      <w:r>
        <w:t>иных целях, в соответствии с законодательством.</w:t>
      </w:r>
    </w:p>
    <w:p w:rsidR="00BC2466" w:rsidRDefault="00BC2466">
      <w:pPr>
        <w:sectPr w:rsidR="00BC2466">
          <w:headerReference w:type="even" r:id="rId12"/>
          <w:headerReference w:type="default" r:id="rId13"/>
          <w:headerReference w:type="first" r:id="rId14"/>
          <w:pgSz w:w="11900" w:h="16820"/>
          <w:pgMar w:top="840" w:right="466" w:bottom="1153" w:left="1647" w:header="720" w:footer="720" w:gutter="0"/>
          <w:cols w:space="720"/>
        </w:sectPr>
      </w:pPr>
    </w:p>
    <w:p w:rsidR="00CF7CD4" w:rsidRPr="004F52DA" w:rsidRDefault="009267F8" w:rsidP="004F52DA">
      <w:pPr>
        <w:numPr>
          <w:ilvl w:val="0"/>
          <w:numId w:val="9"/>
        </w:numPr>
        <w:spacing w:after="255" w:line="248" w:lineRule="auto"/>
        <w:ind w:left="709" w:right="0" w:firstLine="0"/>
        <w:rPr>
          <w:b/>
        </w:rPr>
      </w:pPr>
      <w:r w:rsidRPr="004F52DA">
        <w:rPr>
          <w:b/>
          <w:sz w:val="32"/>
        </w:rPr>
        <w:lastRenderedPageBreak/>
        <w:t>Правовые основания, объем и категории обрабатываемых персональных данных, категории субъектов персональных данных</w:t>
      </w:r>
    </w:p>
    <w:p w:rsidR="00CF7CD4" w:rsidRDefault="009267F8" w:rsidP="004F52DA">
      <w:pPr>
        <w:numPr>
          <w:ilvl w:val="1"/>
          <w:numId w:val="9"/>
        </w:numPr>
        <w:spacing w:after="208"/>
        <w:ind w:left="0" w:right="19" w:firstLine="0"/>
      </w:pPr>
      <w:r>
        <w:t>Правовыми основаниями обработки персональных данных являются действующее законодательство Республики Беларусь, положения, уставы и иные локальные документы операторов, договоры.</w:t>
      </w:r>
    </w:p>
    <w:p w:rsidR="00CF7CD4" w:rsidRDefault="009267F8" w:rsidP="004F52DA">
      <w:pPr>
        <w:numPr>
          <w:ilvl w:val="1"/>
          <w:numId w:val="9"/>
        </w:numPr>
        <w:spacing w:after="203"/>
        <w:ind w:left="0" w:right="19" w:firstLine="0"/>
      </w:pPr>
      <w:r>
        <w:t>Содержание и объем обрабатываемых персональных данных должны соответствовать з</w:t>
      </w:r>
      <w:r>
        <w:t>аявленным целям обработки, предусмотренным в разделе 2 Политики. Обрабатываемые персональные данные не должны быть избыточными по отношению к заявленным целям их обработки.</w:t>
      </w:r>
    </w:p>
    <w:p w:rsidR="00CF7CD4" w:rsidRDefault="009267F8" w:rsidP="004F52DA">
      <w:pPr>
        <w:numPr>
          <w:ilvl w:val="1"/>
          <w:numId w:val="9"/>
        </w:numPr>
        <w:ind w:left="0" w:right="19" w:firstLine="0"/>
      </w:pPr>
      <w:r>
        <w:t>Операторы могут обрабатывать следующие персональные данные в зависимости от категор</w:t>
      </w:r>
      <w:r>
        <w:t>ий субъектов персональных данных и целей обработки:</w:t>
      </w:r>
    </w:p>
    <w:p w:rsidR="00CF7CD4" w:rsidRDefault="009267F8">
      <w:pPr>
        <w:spacing w:after="117" w:line="306" w:lineRule="auto"/>
        <w:ind w:left="19" w:right="19"/>
      </w:pPr>
      <w:r>
        <w:t>паспортные данные или данные иного документа, удостоверяющего личность; адрес фактического проживания;</w:t>
      </w:r>
    </w:p>
    <w:p w:rsidR="00CF7CD4" w:rsidRDefault="009267F8">
      <w:pPr>
        <w:spacing w:after="91" w:line="309" w:lineRule="auto"/>
        <w:ind w:left="19" w:right="19"/>
      </w:pPr>
      <w:r>
        <w:t>место работы, занимаемая должность (специальность, профессия); место обучения; контактные данные (ном</w:t>
      </w:r>
      <w:r>
        <w:t>ер телефона, адрес электронной почты);</w:t>
      </w:r>
    </w:p>
    <w:p w:rsidR="00CF7CD4" w:rsidRDefault="009267F8">
      <w:pPr>
        <w:ind w:left="19" w:right="19"/>
      </w:pPr>
      <w:r>
        <w:t>данные, которые автоматически передаются устройствами субъектов персональных данных, с помощью которых используются сайты операторов, в том числе технические характеристики устройств, 1Р-адреса, информация, сохраненна</w:t>
      </w:r>
      <w:r>
        <w:t>я в файлах «</w:t>
      </w:r>
      <w:proofErr w:type="spellStart"/>
      <w:r>
        <w:t>cookies</w:t>
      </w:r>
      <w:proofErr w:type="spellEnd"/>
      <w:r>
        <w:t>», которые были отправлены на устройства, информация о браузерах, дата и время доступа к сайтам, адреса запрашиваемых страниц, данные о местоположении в случае, если субъекты персональных данных сообщили свои координаты, логины и пароли,</w:t>
      </w:r>
      <w:r>
        <w:t xml:space="preserve"> иная подобная информация;</w:t>
      </w:r>
    </w:p>
    <w:p w:rsidR="00CF7CD4" w:rsidRDefault="009267F8">
      <w:pPr>
        <w:ind w:left="19" w:right="19"/>
      </w:pPr>
      <w:r>
        <w:t>сведения об образовании, квалификации, профессиональной подготовке и повышении квалификации, трудовой деятельности, семейном положении и родственных связях, иные персональные данные и сведения, предоставляемые и сообщаемые субъек</w:t>
      </w:r>
      <w:r>
        <w:t>тами; фото и видеоматериалы.</w:t>
      </w:r>
    </w:p>
    <w:p w:rsidR="00CF7CD4" w:rsidRPr="004F52DA" w:rsidRDefault="009267F8">
      <w:pPr>
        <w:numPr>
          <w:ilvl w:val="0"/>
          <w:numId w:val="10"/>
        </w:numPr>
        <w:spacing w:after="255" w:line="248" w:lineRule="auto"/>
        <w:ind w:right="0" w:hanging="360"/>
        <w:rPr>
          <w:b/>
        </w:rPr>
      </w:pPr>
      <w:r w:rsidRPr="004F52DA">
        <w:rPr>
          <w:b/>
          <w:sz w:val="32"/>
        </w:rPr>
        <w:t>Порядок и условия обработки персональных данных</w:t>
      </w:r>
    </w:p>
    <w:p w:rsidR="00CF7CD4" w:rsidRDefault="009267F8" w:rsidP="004F52DA">
      <w:pPr>
        <w:numPr>
          <w:ilvl w:val="1"/>
          <w:numId w:val="10"/>
        </w:numPr>
        <w:ind w:left="0" w:right="19"/>
      </w:pPr>
      <w:r>
        <w:t>Обработка персональных данных осуществляется операторами в соответствии с требованиями законодательства Республики Беларусь.</w:t>
      </w:r>
    </w:p>
    <w:p w:rsidR="00CF7CD4" w:rsidRDefault="009267F8" w:rsidP="004F52DA">
      <w:pPr>
        <w:numPr>
          <w:ilvl w:val="1"/>
          <w:numId w:val="10"/>
        </w:numPr>
        <w:ind w:left="0" w:right="19" w:firstLine="0"/>
      </w:pPr>
      <w:r>
        <w:lastRenderedPageBreak/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CF7CD4" w:rsidRDefault="009267F8" w:rsidP="004F52DA">
      <w:pPr>
        <w:numPr>
          <w:ilvl w:val="1"/>
          <w:numId w:val="10"/>
        </w:numPr>
        <w:ind w:left="0" w:right="19" w:firstLine="0"/>
      </w:pPr>
      <w:r>
        <w:t>Согласие субъектов персональных данны</w:t>
      </w:r>
      <w:r>
        <w:t>х может быть получено как путем собственноручного подписания согласия, так и путем проставления соответствующей электронной отметки на сайте Пользователя, иных информационных ресурсах, другими способами, позволяющими установить факт получения согласия (мне</w:t>
      </w:r>
      <w:r>
        <w:t>ния) субъектов персональных данных, в том числе путем свободного волеизъявления в процессе общения с представителями операторов.</w:t>
      </w:r>
    </w:p>
    <w:p w:rsidR="00CF7CD4" w:rsidRDefault="009267F8" w:rsidP="004F52DA">
      <w:pPr>
        <w:numPr>
          <w:ilvl w:val="1"/>
          <w:numId w:val="10"/>
        </w:numPr>
        <w:ind w:left="0" w:right="19" w:firstLine="0"/>
      </w:pPr>
      <w:r>
        <w:t>Операторы осуществляют как автоматизированную, так и неавтоматизированную обработку персональных данных.</w:t>
      </w:r>
    </w:p>
    <w:p w:rsidR="00CF7CD4" w:rsidRDefault="009267F8" w:rsidP="004F52DA">
      <w:pPr>
        <w:numPr>
          <w:ilvl w:val="1"/>
          <w:numId w:val="10"/>
        </w:numPr>
        <w:ind w:left="0" w:right="19" w:firstLine="0"/>
      </w:pPr>
      <w:r>
        <w:t>К обработке персональн</w:t>
      </w:r>
      <w:r>
        <w:t>ых данных допускаются работники операторов, в должностные обязанности которых входит обработка персональных данных.</w:t>
      </w:r>
    </w:p>
    <w:p w:rsidR="00CF7CD4" w:rsidRDefault="009267F8" w:rsidP="004F52DA">
      <w:pPr>
        <w:numPr>
          <w:ilvl w:val="1"/>
          <w:numId w:val="10"/>
        </w:numPr>
        <w:spacing w:after="214"/>
        <w:ind w:left="0" w:right="19" w:firstLine="0"/>
      </w:pPr>
      <w:r>
        <w:t>Обработка персональных данных осуществляется путем:</w:t>
      </w:r>
    </w:p>
    <w:p w:rsidR="00CF7CD4" w:rsidRDefault="009267F8">
      <w:pPr>
        <w:numPr>
          <w:ilvl w:val="0"/>
          <w:numId w:val="11"/>
        </w:numPr>
        <w:ind w:right="19"/>
      </w:pPr>
      <w:r>
        <w:t>получения персональных данных в устной и письменной форме непосредственно от субъектов п</w:t>
      </w:r>
      <w:r>
        <w:t>ерсональных данных;</w:t>
      </w:r>
    </w:p>
    <w:p w:rsidR="00CF7CD4" w:rsidRDefault="009267F8">
      <w:pPr>
        <w:numPr>
          <w:ilvl w:val="0"/>
          <w:numId w:val="11"/>
        </w:numPr>
        <w:ind w:right="19"/>
      </w:pPr>
      <w:r>
        <w:t>получения персональных данных из общедоступных источников;</w:t>
      </w:r>
    </w:p>
    <w:p w:rsidR="00CF7CD4" w:rsidRDefault="009267F8">
      <w:pPr>
        <w:numPr>
          <w:ilvl w:val="0"/>
          <w:numId w:val="11"/>
        </w:numPr>
        <w:ind w:right="19"/>
      </w:pPr>
      <w:r>
        <w:t>внесения персональных данных в журналы, реестры и иные документы операторов, а также в их и информационные системы;</w:t>
      </w:r>
    </w:p>
    <w:p w:rsidR="00CF7CD4" w:rsidRDefault="009267F8">
      <w:pPr>
        <w:numPr>
          <w:ilvl w:val="0"/>
          <w:numId w:val="11"/>
        </w:numPr>
        <w:spacing w:after="153"/>
        <w:ind w:right="19"/>
      </w:pPr>
      <w:r>
        <w:t>использования иных способов обработки персональных данных.</w:t>
      </w:r>
    </w:p>
    <w:p w:rsidR="00CF7CD4" w:rsidRDefault="009267F8">
      <w:pPr>
        <w:numPr>
          <w:ilvl w:val="1"/>
          <w:numId w:val="12"/>
        </w:numPr>
        <w:ind w:right="19"/>
      </w:pPr>
      <w:r>
        <w:t>Не</w:t>
      </w:r>
      <w:r>
        <w:t xml:space="preserve"> допускается раскрытие третьим лицам и распространение персональных данных без согласия субъектов персональных данных, если иное не предусмотрено законодательством.</w:t>
      </w:r>
    </w:p>
    <w:p w:rsidR="00CF7CD4" w:rsidRDefault="009267F8">
      <w:pPr>
        <w:numPr>
          <w:ilvl w:val="1"/>
          <w:numId w:val="12"/>
        </w:numPr>
        <w:ind w:right="19"/>
      </w:pPr>
      <w:r>
        <w:t>Передача персональных данных правоохранительным и судебным органам, государственным органам</w:t>
      </w:r>
      <w:r>
        <w:t xml:space="preserve"> и организациям, иным организациям осуществляется в соответствии с требованиями законодательства Республики Беларусь.</w:t>
      </w:r>
    </w:p>
    <w:p w:rsidR="00CF7CD4" w:rsidRDefault="009267F8">
      <w:pPr>
        <w:numPr>
          <w:ilvl w:val="1"/>
          <w:numId w:val="12"/>
        </w:numPr>
        <w:spacing w:after="201"/>
        <w:ind w:right="19"/>
      </w:pPr>
      <w:r>
        <w:t>Оператор принимает необходимые правовые, организационные и технические меры для защиты персональных данных от неправомерного или случайног</w:t>
      </w:r>
      <w:r>
        <w:t xml:space="preserve">о доступа к ним, уничтожения, изменения, блокирования, распространения и других несанкционированных действий. Отношения в </w:t>
      </w:r>
      <w:r>
        <w:lastRenderedPageBreak/>
        <w:t>сфере обработки и защиты персональных данных регулируются локальными правовыми актами, действующими у операторов.</w:t>
      </w:r>
    </w:p>
    <w:p w:rsidR="00CF7CD4" w:rsidRDefault="009267F8">
      <w:pPr>
        <w:numPr>
          <w:ilvl w:val="1"/>
          <w:numId w:val="12"/>
        </w:numPr>
        <w:spacing w:after="202"/>
        <w:ind w:right="19"/>
      </w:pPr>
      <w:r>
        <w:t>Операторы осуществля</w:t>
      </w:r>
      <w:r>
        <w:t>ют обработку персональных данных не дольше, чем этого требуют цели обработки персональных данных. Определенный срок обработки персональных данных может быть установлен законодательством Республики Беларусь, локальными документами операторов, договорами, со</w:t>
      </w:r>
      <w:r>
        <w:t>гласием субъектов персональных данных.</w:t>
      </w:r>
    </w:p>
    <w:p w:rsidR="00CF7CD4" w:rsidRDefault="009267F8">
      <w:pPr>
        <w:numPr>
          <w:ilvl w:val="1"/>
          <w:numId w:val="12"/>
        </w:numPr>
        <w:spacing w:after="232"/>
        <w:ind w:right="19"/>
      </w:pPr>
      <w:r>
        <w:t>Обработка персональных данных прекращается при наступлении одного или нескольких из указанных событий:</w:t>
      </w:r>
    </w:p>
    <w:p w:rsidR="00CF7CD4" w:rsidRDefault="009267F8">
      <w:pPr>
        <w:ind w:left="19" w:right="19"/>
      </w:pPr>
      <w:r>
        <w:rPr>
          <w:noProof/>
        </w:rPr>
        <w:drawing>
          <wp:inline distT="0" distB="0" distL="0" distR="0">
            <wp:extent cx="48771" cy="21337"/>
            <wp:effectExtent l="0" t="0" r="0" b="0"/>
            <wp:docPr id="12482" name="Picture 1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" name="Picture 124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поступление от субъектов персональных данных отзыва согласия на обработку их персональных данных в установленном порядке;</w:t>
      </w:r>
    </w:p>
    <w:p w:rsidR="00CF7CD4" w:rsidRDefault="009267F8">
      <w:pPr>
        <w:numPr>
          <w:ilvl w:val="0"/>
          <w:numId w:val="11"/>
        </w:numPr>
        <w:ind w:right="19"/>
      </w:pPr>
      <w:r>
        <w:t>достижение целей их обработки;</w:t>
      </w:r>
    </w:p>
    <w:p w:rsidR="00CF7CD4" w:rsidRDefault="009267F8">
      <w:pPr>
        <w:numPr>
          <w:ilvl w:val="0"/>
          <w:numId w:val="11"/>
        </w:numPr>
        <w:spacing w:after="204"/>
        <w:ind w:right="19"/>
      </w:pPr>
      <w:r>
        <w:t>истечение срока действия согласия субъектов персональных данных;</w:t>
      </w:r>
    </w:p>
    <w:p w:rsidR="00CF7CD4" w:rsidRDefault="009267F8">
      <w:pPr>
        <w:ind w:left="19" w:right="19"/>
      </w:pPr>
      <w:r>
        <w:rPr>
          <w:noProof/>
        </w:rPr>
        <w:drawing>
          <wp:inline distT="0" distB="0" distL="0" distR="0">
            <wp:extent cx="51820" cy="21337"/>
            <wp:effectExtent l="0" t="0" r="0" b="0"/>
            <wp:docPr id="12483" name="Picture 1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" name="Picture 124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истечение срока обработки персональ</w:t>
      </w:r>
      <w:r>
        <w:t>ных данных, утрата их актуальности;</w:t>
      </w:r>
    </w:p>
    <w:p w:rsidR="00CF7CD4" w:rsidRDefault="009267F8">
      <w:pPr>
        <w:numPr>
          <w:ilvl w:val="0"/>
          <w:numId w:val="11"/>
        </w:numPr>
        <w:spacing w:after="158"/>
        <w:ind w:right="19"/>
      </w:pPr>
      <w:r>
        <w:t>обнаружение неправомерной обработки персональных данных;</w:t>
      </w:r>
    </w:p>
    <w:p w:rsidR="00CF7CD4" w:rsidRDefault="009267F8">
      <w:pPr>
        <w:numPr>
          <w:ilvl w:val="0"/>
          <w:numId w:val="11"/>
        </w:numPr>
        <w:spacing w:after="299"/>
        <w:ind w:right="19"/>
      </w:pPr>
      <w:r>
        <w:t>прекращение деятельности организации.</w:t>
      </w:r>
    </w:p>
    <w:p w:rsidR="00CF7CD4" w:rsidRPr="004F52DA" w:rsidRDefault="009267F8">
      <w:pPr>
        <w:spacing w:after="228" w:line="248" w:lineRule="auto"/>
        <w:ind w:left="748" w:right="0" w:hanging="355"/>
        <w:rPr>
          <w:b/>
        </w:rPr>
      </w:pPr>
      <w:bookmarkStart w:id="0" w:name="_GoBack"/>
      <w:bookmarkEnd w:id="0"/>
      <w:r>
        <w:rPr>
          <w:sz w:val="32"/>
        </w:rPr>
        <w:t xml:space="preserve">5. </w:t>
      </w:r>
      <w:r w:rsidRPr="004F52DA">
        <w:rPr>
          <w:b/>
          <w:sz w:val="32"/>
        </w:rPr>
        <w:t>Актуализация, исправление, удаление и уничтожение персональных данных, ответы на запросы субъектов персональных данных</w:t>
      </w:r>
    </w:p>
    <w:p w:rsidR="00CF7CD4" w:rsidRDefault="009267F8">
      <w:pPr>
        <w:numPr>
          <w:ilvl w:val="1"/>
          <w:numId w:val="13"/>
        </w:numPr>
        <w:spacing w:after="159"/>
        <w:ind w:right="19"/>
      </w:pPr>
      <w:r>
        <w:t>Под</w:t>
      </w:r>
      <w:r>
        <w:t>тверждение факта обработки персональных данных операторами, правовые основания и цели обработки персональных данных, а также иные сведения, указанные в пунктах 1 и 4 статьи 11; пункте 1 статьи 12 Закона о персональных данных, предоставляются операторами су</w:t>
      </w:r>
      <w:r>
        <w:t>бъектам персональных данных при получении заявления субъектов персональных данных.</w:t>
      </w:r>
    </w:p>
    <w:p w:rsidR="00CF7CD4" w:rsidRDefault="009267F8">
      <w:pPr>
        <w:ind w:left="19" w:right="19"/>
      </w:pPr>
      <w: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</w:t>
      </w:r>
      <w:r>
        <w:t>я раскрытия таких персональных данных.</w:t>
      </w:r>
    </w:p>
    <w:p w:rsidR="00CF7CD4" w:rsidRDefault="009267F8">
      <w:pPr>
        <w:numPr>
          <w:ilvl w:val="1"/>
          <w:numId w:val="13"/>
        </w:numPr>
        <w:ind w:right="19"/>
      </w:pPr>
      <w:r>
        <w:lastRenderedPageBreak/>
        <w:t>В случае выявления неточных персональных данных при обращении субъектов персональных данных, получения от них заявления, или по запросу уполномоченных органов по защите прав субъектов персональных данных операторы осу</w:t>
      </w:r>
      <w:r>
        <w:t>ществляют блокирование персональных данных, относящихся к этим субъектам персональных данных, с момента получения указанного заявления или запроса на период проверки.</w:t>
      </w:r>
    </w:p>
    <w:p w:rsidR="00CF7CD4" w:rsidRDefault="009267F8">
      <w:pPr>
        <w:ind w:left="19" w:right="19"/>
      </w:pPr>
      <w:r>
        <w:t>В случае подтверждения факта неточности персональных данных операторы на основании сведен</w:t>
      </w:r>
      <w:r>
        <w:t>ий, представленных субъектами персональных данных либо уполномоченными органами по защите прав субъектов персональных данных, или иных необходимых документов уточняют (изменяют) персональные данные в течение 15 дней со дня представления таких сведений и сн</w:t>
      </w:r>
      <w:r>
        <w:t>имают блокирование персональных данных.</w:t>
      </w:r>
    </w:p>
    <w:p w:rsidR="00CF7CD4" w:rsidRDefault="009267F8">
      <w:pPr>
        <w:numPr>
          <w:ilvl w:val="1"/>
          <w:numId w:val="13"/>
        </w:numPr>
        <w:ind w:right="19"/>
      </w:pPr>
      <w:r>
        <w:t>В случае выявления неправомерной обработки персональных данных при получении заявления субъектов персональных данных либо запроса уполномоченных органов по защите прав субъектов персональных данных операторы осуществ</w:t>
      </w:r>
      <w:r>
        <w:t>ляют блокирование неправомерно обрабатываемых персональных данных, относящихся к этим субъектам персональных данных, с момента такого обращения или получения заявления (запроса).</w:t>
      </w:r>
    </w:p>
    <w:p w:rsidR="00CF7CD4" w:rsidRDefault="009267F8">
      <w:pPr>
        <w:numPr>
          <w:ilvl w:val="1"/>
          <w:numId w:val="13"/>
        </w:numPr>
        <w:ind w:right="19"/>
      </w:pPr>
      <w:r>
        <w:t xml:space="preserve">При достижении целей обработки персональных данных, а также, в случае отзыва </w:t>
      </w:r>
      <w:r>
        <w:t>субъектами персональных данных согласия на их обработку, персональные данные подлежат удалению, если иное не предусмотрено другим соглашением между операторами и субъектами персональных данных или законодательством.</w:t>
      </w:r>
    </w:p>
    <w:p w:rsidR="00CF7CD4" w:rsidRDefault="009267F8">
      <w:pPr>
        <w:numPr>
          <w:ilvl w:val="1"/>
          <w:numId w:val="13"/>
        </w:numPr>
        <w:ind w:right="19"/>
      </w:pPr>
      <w:r>
        <w:t>На основании настоящей Политики разрабат</w:t>
      </w:r>
      <w:r>
        <w:t>ываются иные локальные документы операторов, которые не должны противоречить настоящей Политике.</w:t>
      </w:r>
    </w:p>
    <w:p w:rsidR="00CF7CD4" w:rsidRDefault="009267F8">
      <w:pPr>
        <w:numPr>
          <w:ilvl w:val="1"/>
          <w:numId w:val="13"/>
        </w:numPr>
        <w:ind w:right="19"/>
      </w:pPr>
      <w:r>
        <w:t>Каждый из операторов на основании настоящей Политики вправе разработать собственную политику и использовать ее или в качестве собственной политики использовать</w:t>
      </w:r>
      <w:r>
        <w:t xml:space="preserve"> настоящую.</w:t>
      </w:r>
    </w:p>
    <w:sectPr w:rsidR="00CF7CD4">
      <w:headerReference w:type="even" r:id="rId17"/>
      <w:headerReference w:type="default" r:id="rId18"/>
      <w:headerReference w:type="first" r:id="rId19"/>
      <w:pgSz w:w="11900" w:h="16820"/>
      <w:pgMar w:top="1371" w:right="581" w:bottom="1279" w:left="1632" w:header="8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F8" w:rsidRDefault="009267F8">
      <w:pPr>
        <w:spacing w:after="0" w:line="240" w:lineRule="auto"/>
      </w:pPr>
      <w:r>
        <w:separator/>
      </w:r>
    </w:p>
  </w:endnote>
  <w:endnote w:type="continuationSeparator" w:id="0">
    <w:p w:rsidR="009267F8" w:rsidRDefault="0092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F8" w:rsidRDefault="009267F8">
      <w:pPr>
        <w:spacing w:after="0" w:line="240" w:lineRule="auto"/>
      </w:pPr>
      <w:r>
        <w:separator/>
      </w:r>
    </w:p>
  </w:footnote>
  <w:footnote w:type="continuationSeparator" w:id="0">
    <w:p w:rsidR="009267F8" w:rsidRDefault="0092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9267F8">
    <w:pPr>
      <w:spacing w:after="0" w:line="259" w:lineRule="auto"/>
      <w:ind w:left="0" w:right="149" w:firstLine="0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 w:rsidR="004F52DA" w:rsidRPr="004F52DA">
      <w:rPr>
        <w:noProof/>
        <w:sz w:val="20"/>
      </w:rPr>
      <w:t>6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CF7CD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CF7CD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9267F8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2DA" w:rsidRPr="004F52DA">
      <w:rPr>
        <w:noProof/>
        <w:sz w:val="20"/>
      </w:rPr>
      <w:t>10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9267F8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2DA" w:rsidRPr="004F52DA">
      <w:rPr>
        <w:noProof/>
        <w:sz w:val="20"/>
      </w:rPr>
      <w:t>11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D4" w:rsidRDefault="009267F8">
    <w:pPr>
      <w:spacing w:after="0" w:line="259" w:lineRule="auto"/>
      <w:ind w:left="0" w:right="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.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BE754B4"/>
    <w:multiLevelType w:val="multilevel"/>
    <w:tmpl w:val="8638BD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F514D"/>
    <w:multiLevelType w:val="hybridMultilevel"/>
    <w:tmpl w:val="974495F6"/>
    <w:lvl w:ilvl="0" w:tplc="76E23ADE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972E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907F58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467EA0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FA92F2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E22EC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9CB38C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40FD4C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9209D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885865"/>
    <w:multiLevelType w:val="hybridMultilevel"/>
    <w:tmpl w:val="A0D8E7A8"/>
    <w:lvl w:ilvl="0" w:tplc="B1221662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0F02C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AA6043E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1D4CECA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6C375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63AAC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8232B8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6C6FCA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64BC90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00921"/>
    <w:multiLevelType w:val="multilevel"/>
    <w:tmpl w:val="C8921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1C0EFE"/>
    <w:multiLevelType w:val="hybridMultilevel"/>
    <w:tmpl w:val="CBFE6368"/>
    <w:lvl w:ilvl="0" w:tplc="212044C8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9E7114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D30BC9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62054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C8EC3D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C0FD2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51E246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8CD40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7E18A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E7186"/>
    <w:multiLevelType w:val="multilevel"/>
    <w:tmpl w:val="0A0A74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751126"/>
    <w:multiLevelType w:val="multilevel"/>
    <w:tmpl w:val="3306B5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0A05FD"/>
    <w:multiLevelType w:val="hybridMultilevel"/>
    <w:tmpl w:val="B4A4A562"/>
    <w:lvl w:ilvl="0" w:tplc="204C43D8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9EA68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D243A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FE896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1E4F7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227C8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48A2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914829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10932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1034EF"/>
    <w:multiLevelType w:val="hybridMultilevel"/>
    <w:tmpl w:val="C8D89E62"/>
    <w:lvl w:ilvl="0" w:tplc="893C46F0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22286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46CDD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78243C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46638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AE13E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C7C3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C3422A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62344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B1565"/>
    <w:multiLevelType w:val="multilevel"/>
    <w:tmpl w:val="EB70B9AE"/>
    <w:lvl w:ilvl="0">
      <w:start w:val="3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813E49"/>
    <w:multiLevelType w:val="hybridMultilevel"/>
    <w:tmpl w:val="6C8A6F3E"/>
    <w:lvl w:ilvl="0" w:tplc="0262D50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048A26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98020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4A8A84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188AC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A878C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5B4B81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92230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F2DF7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F36675"/>
    <w:multiLevelType w:val="hybridMultilevel"/>
    <w:tmpl w:val="A594904C"/>
    <w:lvl w:ilvl="0" w:tplc="5D60ADE2">
      <w:start w:val="1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8459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603A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BA1A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B445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ADC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AA5D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1C261B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4201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6629F"/>
    <w:multiLevelType w:val="multilevel"/>
    <w:tmpl w:val="626ADA16"/>
    <w:lvl w:ilvl="0">
      <w:start w:val="4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D4"/>
    <w:rsid w:val="004F52DA"/>
    <w:rsid w:val="009267F8"/>
    <w:rsid w:val="00BC2466"/>
    <w:rsid w:val="00C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4431"/>
  <w15:docId w15:val="{157D55D1-1CBD-4B30-AD24-DCF259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47" w:lineRule="auto"/>
      <w:ind w:left="5823" w:right="24" w:firstLine="4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4.jp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2022-03-14T09:05:00Z</dcterms:created>
  <dcterms:modified xsi:type="dcterms:W3CDTF">2022-03-14T09:05:00Z</dcterms:modified>
</cp:coreProperties>
</file>