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36"/>
          <w:szCs w:val="36"/>
          <w:lang w:eastAsia="ru-RU"/>
        </w:rPr>
        <w:t xml:space="preserve">Профилактика преступлений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36"/>
          <w:szCs w:val="36"/>
          <w:lang w:eastAsia="ru-RU"/>
        </w:rPr>
        <w:t xml:space="preserve">против половой неприкосновенности несовершеннолетних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>
        <w:tblPrEx/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36"/>
                <w:szCs w:val="36"/>
                <w:lang w:eastAsia="ru-RU"/>
              </w:rPr>
              <w:t xml:space="preserve">Преступления против жизни, здоровья, половой неприкосновенности и половой свободы несовершеннолетних являются 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36"/>
                <w:szCs w:val="36"/>
                <w:lang w:eastAsia="ru-RU"/>
              </w:rPr>
              <w:t xml:space="preserve">общественно опасным явлением и представляют собой одну из наиболее опасных форм антисоциального поведения, и данный тезис не требует особых доказательств.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ind w:firstLine="709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Вред, причиненный ребенку в результате насильственных преступлений, приводит к отклонениям в нравственном и психофизическом  развитии несовершеннолетних и представляет угрозу для его будущего.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особенности орг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-прямая зависимость потерпевших несовершеннолетних от преступника. Субъекты преступления в этом случае могут выступать блокирующем фактором  - использовать все возможные средства для того, чтобы о преступлении никто не узнал.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Справочно: Сексуальное насилие 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-ласка и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трогание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запретных частей тела,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эротизированная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забота;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-демонстрация половых органов, использование ребенка для сексуальной стимуляции взрослого (развратные действия);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-изнасилование в обычной форме, орально-генитальный и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анально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-генитальный контакт;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Сексуальная эксплуатация - порнографические фотографии и фильмы с участием детьми, проституция.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Следует отметить, что уго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потерпевшей (потерпевшего) и не подлежат прекращению в случае примирения сторон.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В уголовном законодательстве данные виды преступлений выделены в отдельную главу «Преступления против половой неприкосновенности и половой свободы».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Наиболее часто несовершеннолетние признаются потерпевшими при расследовании уголовных дел, возбужденных по ст.ст.166, 167, 168, 169 УК Республики Беларусь и других.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8b4513"/>
          <w:sz w:val="27"/>
          <w:szCs w:val="27"/>
          <w:lang w:eastAsia="ru-RU"/>
        </w:rPr>
        <w:t xml:space="preserve">Статья 166. Изнасилование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наказывается ограничением свободы на срок до четырех лет или лишением свободы на срок от трех до семи лет.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2. 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 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наказывается лишением свободы на срок от пяти до тринадцати лет.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 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наказывается лишением свободы на срок от восьми до пятнадцати лет.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800000"/>
          <w:sz w:val="27"/>
          <w:szCs w:val="27"/>
          <w:lang w:eastAsia="ru-RU"/>
        </w:rPr>
        <w:t xml:space="preserve">Статья 167. Насильственные действия сексуального характера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1. Мужеложство, лесбиянство или иные действия сексуального характера, совершенные вопреки воле пот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ерпевшего (потерпевшей) с применением насилия или с угрозой его применения либо с использованием беспомощного состояния потерпевшего (потерпевшей), – наказываются ограничением свободы на срок до четырех лет или лишением свободы на срок от трех до семи лет.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 наказываются лишением свободы на срок от пяти до тринадцати лет.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3. 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Действия, предусмотренные частями 1 или 2 настоящей статьи, совершенные в отношении заведомо м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 – наказываются лишением свободы на срок от восьми до пятнадцати лет.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800000"/>
          <w:sz w:val="27"/>
          <w:szCs w:val="27"/>
          <w:lang w:eastAsia="ru-RU"/>
        </w:rPr>
        <w:t xml:space="preserve">Статья 168. Половое сношение и иные действия сексуального характера с лицом,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800000"/>
          <w:sz w:val="27"/>
          <w:szCs w:val="27"/>
          <w:lang w:eastAsia="ru-RU"/>
        </w:rPr>
        <w:t xml:space="preserve">не </w:t>
      </w:r>
      <w:r>
        <w:rPr>
          <w:rFonts w:ascii="Times New Roman" w:hAnsi="Times New Roman" w:eastAsia="Times New Roman" w:cs="Times New Roman"/>
          <w:color w:val="800000"/>
          <w:sz w:val="27"/>
          <w:szCs w:val="27"/>
          <w:lang w:eastAsia="ru-RU"/>
        </w:rPr>
        <w:t xml:space="preserve">достигшим</w:t>
      </w:r>
      <w:r>
        <w:rPr>
          <w:rFonts w:ascii="Times New Roman" w:hAnsi="Times New Roman" w:eastAsia="Times New Roman" w:cs="Times New Roman"/>
          <w:color w:val="800000"/>
          <w:sz w:val="27"/>
          <w:szCs w:val="27"/>
          <w:lang w:eastAsia="ru-RU"/>
        </w:rPr>
        <w:t xml:space="preserve"> шестнадцатилетнего возраста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1. Половое сношение, мужеложство, лесбиянство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 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наказываются ограничением свободы на срок до четырех лет или лишением свободы на тот же срок со штрафом.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2. Те же действия, совершенные лицом, ранее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 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наказываются лишением свободы на срок от трех до десяти лет.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Статья 169. Развратные действия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1. Развратные действия, совершенные лицом, 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 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наказываются арестом или лишением свободы на срок от одного года до трех лет.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2. Те же действия, совершенные с применением насилия или с угрозой его применения, 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наказываются лишением свободы на срок от трех до шести лет.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же время, как показывает практика, даже при наличии объективной информации все внимание сосредотачивается, как правило, на преступнике, тогда как жертва нуждается в первую очередь во внимании и необходимой социальной, психологической и медицинской помощи.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Признаки сексуального насилия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у детей и подростков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890"/>
        <w:gridCol w:w="555"/>
      </w:tblGrid>
      <w:tr>
        <w:tblPrEx/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w:t xml:space="preserve">В случае сексуального насилия или действий сексуального характера изменения могут произойти как в поведении ребенка, так и в его физическом и психологическом состоянии.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04800"/>
                      <wp:effectExtent l="0" t="0" r="0" b="0"/>
                      <wp:docPr id="1" name="AutoShape 1" descr="Изображени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0" o:spid="_x0000_s0" o:spt="1" type="#_x0000_t1" style="width:24.00pt;height:24.00pt;mso-wrap-distance-left:0.00pt;mso-wrap-distance-top:0.00pt;mso-wrap-distance-right:0.00pt;mso-wrap-distance-bottom:0.00pt;visibility:visible;" filled="f" stroked="f"/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Физические признаки: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Оральные симптомы: 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Анальные симптомы: повреждения в прямой кишке, покраснение ануса, варикозные изменения, ослабление сфинктера, запоры.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Вагинальные симптомы: нарушение девственной плевы, расширение влагалища, свежие повреждения (раны, ссадины), сопутствующие инфекции.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Кроме этого, признаками сексуального насилия над ребенком являются: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порванное, запачканное или окровавленное нижнее белье;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гематомы (синяки) в области половых органов;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кровотечения, необъяснимые выделения из половых органов;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гематомы и укусы на груди, ягодицах, ногах, нижней части живота, бедрах;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боль в нижней части живота;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повторяющиеся воспаления мочеиспускательных путей;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болезни, передающиеся половым путем;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беременность.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Изменения в поведении: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Изменения в выражении сексуальности ребенка: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чрезвычайный интерес к играм сексуального содержания;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поразительные для этого возраста знания о сексуальной жизни;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соблазняющее, особо завлекающее поведение по отношению к противоположному полу и взрослым;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сексуальные действия с другими детьми (начиная с младшего школьного возраста);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Изменения в эмоциональном состоянии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общении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ребенка: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замкнутость, изоляция, уход в себя;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депрессивность, грустное настроение;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отвращение, стыд,  вина, недоверие, чувство испорченности;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частая задумчивость, отстраненность (встречается у детей и подростков, начиная с дошкольного возраста);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истерическое поведение, быстрая потеря самоконтроля;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трудности в общении с ровесниками, избегание общения с ними, отсутствие друзей своего возраста или отказ от общения с прежними друзьями;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отчуждение от братьев и сестер;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терроризирование младших и детей своего возраста;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жестокость по отношению к игрушкам (у младших детей);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амбивалентные чувства к взрослым (начиная с младшего школьного возраста).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Изменения личности и мотивации ребенка, социальные признаки: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 неспособность защитить себя, непротивление насилию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ииздевательству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над собой, смирение;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резкое изменение успеваемости (хуже или гораздо лучше);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прогулы в школе, отказ и уклонение от обучения, посещения учреждения дополнительного образования, спортивной секции;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принятие на себя родительской роли в семье (по приготовлению еды, стирке, мытью, ухаживанию за младшими и их воспитанию);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отрицание традиций своей семьи вследствие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несформированности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социальных ролей и своей роли в ней, вплоть до ухода из дома (характерно для подростков).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Изменения самосознания ребенка: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падение самооценки;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мысли о самоубийстве, попытки самоубийства.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br/>
        <w:t xml:space="preserve">Появление невротических и психосоматических симптомов: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боязнь оставаться в помещении наедине с определенным человеком;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 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Конечно, выявив у ребенка какой-либо из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сообщить о преступлении в органы внутренних дел, а ребенку должна быть оказана профессиональная психологическая, медицинская и иная помощь.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Если же помощь не оказана вовремя, ребенок о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стается один на один со своей проблемой.  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Остановитесь! Оглянитесь!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Рядом с Вами может быть ребенок, который нуждается именно в Вашей помощи…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САД-ПК</dc:creator>
  <cp:lastModifiedBy>Аноним</cp:lastModifiedBy>
  <cp:revision>2</cp:revision>
  <dcterms:created xsi:type="dcterms:W3CDTF">2020-05-11T06:26:00Z</dcterms:created>
  <dcterms:modified xsi:type="dcterms:W3CDTF">2024-10-16T11:37:49Z</dcterms:modified>
</cp:coreProperties>
</file>