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60" w:rsidRPr="00CB51AE" w:rsidRDefault="00AC0F60" w:rsidP="00AC0F60">
      <w:pPr>
        <w:jc w:val="center"/>
        <w:rPr>
          <w:rFonts w:ascii="Times New Roman" w:hAnsi="Times New Roman" w:cs="Times New Roman"/>
          <w:b/>
          <w:sz w:val="28"/>
        </w:rPr>
      </w:pPr>
      <w:r w:rsidRPr="00CB51AE">
        <w:rPr>
          <w:rFonts w:ascii="Times New Roman" w:hAnsi="Times New Roman" w:cs="Times New Roman"/>
          <w:b/>
          <w:sz w:val="28"/>
          <w:lang w:val="be-BY"/>
        </w:rPr>
        <w:t>Разв</w:t>
      </w:r>
      <w:proofErr w:type="spellStart"/>
      <w:r w:rsidRPr="00CB51AE">
        <w:rPr>
          <w:rFonts w:ascii="Times New Roman" w:hAnsi="Times New Roman" w:cs="Times New Roman"/>
          <w:b/>
          <w:sz w:val="28"/>
        </w:rPr>
        <w:t>итие</w:t>
      </w:r>
      <w:proofErr w:type="spellEnd"/>
      <w:r w:rsidRPr="00CB51AE">
        <w:rPr>
          <w:rFonts w:ascii="Times New Roman" w:hAnsi="Times New Roman" w:cs="Times New Roman"/>
          <w:b/>
          <w:sz w:val="28"/>
        </w:rPr>
        <w:t xml:space="preserve"> психических процессов от 3 до 4 лет</w:t>
      </w:r>
    </w:p>
    <w:tbl>
      <w:tblPr>
        <w:tblStyle w:val="a3"/>
        <w:tblW w:w="0" w:type="auto"/>
        <w:tblInd w:w="-998" w:type="dxa"/>
        <w:tblLook w:val="04A0" w:firstRow="1" w:lastRow="0" w:firstColumn="1" w:lastColumn="0" w:noHBand="0" w:noVBand="1"/>
      </w:tblPr>
      <w:tblGrid>
        <w:gridCol w:w="1716"/>
        <w:gridCol w:w="8627"/>
      </w:tblGrid>
      <w:tr w:rsidR="00AC0F60" w:rsidRPr="00CB51AE" w:rsidTr="00AC0F60">
        <w:tc>
          <w:tcPr>
            <w:tcW w:w="1707"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Восприятие</w:t>
            </w:r>
          </w:p>
        </w:tc>
        <w:tc>
          <w:tcPr>
            <w:tcW w:w="8636"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 xml:space="preserve">Носит предметный характер, то есть свойства предмета, </w:t>
            </w:r>
            <w:proofErr w:type="gramStart"/>
            <w:r w:rsidRPr="00CB51AE">
              <w:rPr>
                <w:rFonts w:ascii="Times New Roman" w:hAnsi="Times New Roman" w:cs="Times New Roman"/>
                <w:sz w:val="26"/>
                <w:szCs w:val="26"/>
              </w:rPr>
              <w:t>например</w:t>
            </w:r>
            <w:proofErr w:type="gramEnd"/>
            <w:r w:rsidRPr="00CB51AE">
              <w:rPr>
                <w:rFonts w:ascii="Times New Roman" w:hAnsi="Times New Roman" w:cs="Times New Roman"/>
                <w:sz w:val="26"/>
                <w:szCs w:val="26"/>
              </w:rPr>
              <w:t xml:space="preserve">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а иногда и одну, и по ней отличает предмет от других.</w:t>
            </w:r>
          </w:p>
        </w:tc>
      </w:tr>
      <w:tr w:rsidR="00AC0F60" w:rsidRPr="00CB51AE" w:rsidTr="00AC0F60">
        <w:tc>
          <w:tcPr>
            <w:tcW w:w="1707"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 xml:space="preserve">Внимание </w:t>
            </w:r>
          </w:p>
        </w:tc>
        <w:tc>
          <w:tcPr>
            <w:tcW w:w="8636"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Чтобы переключить внимание с объекта на объект, часто требуется неоднократно повторять инструкцию. Объем внимания с двух объектов в начале года возрастает до четырех к концу года. Ребенок может удерживать активное внимание в течение 7—8 минут. Внимание носит в основном непроизвольный характер, его устойчивость зависит от характера деятельности.</w:t>
            </w:r>
          </w:p>
        </w:tc>
      </w:tr>
      <w:tr w:rsidR="00AC0F60" w:rsidRPr="00CB51AE" w:rsidTr="00AC0F60">
        <w:tc>
          <w:tcPr>
            <w:tcW w:w="1707"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Память</w:t>
            </w:r>
          </w:p>
        </w:tc>
        <w:tc>
          <w:tcPr>
            <w:tcW w:w="8636"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Процессы памяти остаются непроизвольными. По</w:t>
            </w:r>
            <w:r>
              <w:rPr>
                <w:rFonts w:ascii="Times New Roman" w:hAnsi="Times New Roman" w:cs="Times New Roman"/>
                <w:sz w:val="26"/>
                <w:szCs w:val="26"/>
              </w:rPr>
              <w:t>-</w:t>
            </w:r>
            <w:r w:rsidRPr="00CB51AE">
              <w:rPr>
                <w:rFonts w:ascii="Times New Roman" w:hAnsi="Times New Roman" w:cs="Times New Roman"/>
                <w:sz w:val="26"/>
                <w:szCs w:val="26"/>
              </w:rPr>
              <w:t>прежнему преобладает узнавание. Объем памяти существенно зависит от того, увязан материал в смысловое целое или разрознен. Дети данного возраста в начале года могут запомнить при помощи наглядно-образной, а также слуховой вербальной памяти два объекта, к концу года — до четырех объектов [там же]. Ребенок хорошо запоминает все, что представляет для него жизненный интерес, вызывает сильный эмоциональный отклик. Хорошо развита двигательная память: лучше запоминается то, что было связано с собственным движением.</w:t>
            </w:r>
          </w:p>
        </w:tc>
      </w:tr>
      <w:tr w:rsidR="00AC0F60" w:rsidRPr="00CB51AE" w:rsidTr="00AC0F60">
        <w:tc>
          <w:tcPr>
            <w:tcW w:w="1707"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Мышление</w:t>
            </w:r>
          </w:p>
        </w:tc>
        <w:tc>
          <w:tcPr>
            <w:tcW w:w="8636"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Сравнивают, анализируют младшие дошкольники в наглядно</w:t>
            </w:r>
            <w:r>
              <w:rPr>
                <w:rFonts w:ascii="Times New Roman" w:hAnsi="Times New Roman" w:cs="Times New Roman"/>
                <w:sz w:val="26"/>
                <w:szCs w:val="26"/>
              </w:rPr>
              <w:t>-</w:t>
            </w:r>
            <w:r w:rsidRPr="00CB51AE">
              <w:rPr>
                <w:rFonts w:ascii="Times New Roman" w:hAnsi="Times New Roman" w:cs="Times New Roman"/>
                <w:sz w:val="26"/>
                <w:szCs w:val="26"/>
              </w:rPr>
              <w:t>действенном плане. Но у части детей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(это все маленькое). На четвертом году жизни дети несколько чаще, чем раньше, пользуются в разговоре родовыми понятиями типа игрушки, одежда, фрукты, овощи, животные, посуда, включают в каждое из них большее число конкретных наименований</w:t>
            </w:r>
          </w:p>
        </w:tc>
      </w:tr>
      <w:tr w:rsidR="00AC0F60" w:rsidRPr="00CB51AE" w:rsidTr="00AC0F60">
        <w:tc>
          <w:tcPr>
            <w:tcW w:w="1707"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Воображение</w:t>
            </w:r>
          </w:p>
        </w:tc>
        <w:tc>
          <w:tcPr>
            <w:tcW w:w="8636"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Малыши еще не умеют направлять свое воображение. У детей 3—4 лет наблюдаются лишь элементы предварительного планирования игры или продуктивных видов деятельности</w:t>
            </w:r>
          </w:p>
        </w:tc>
      </w:tr>
      <w:tr w:rsidR="00AC0F60" w:rsidRPr="00CB51AE" w:rsidTr="00AC0F60">
        <w:tc>
          <w:tcPr>
            <w:tcW w:w="1707"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Речь</w:t>
            </w:r>
          </w:p>
        </w:tc>
        <w:tc>
          <w:tcPr>
            <w:tcW w:w="8636" w:type="dxa"/>
          </w:tcPr>
          <w:p w:rsidR="00AC0F60" w:rsidRPr="00CB51AE" w:rsidRDefault="00AC0F60" w:rsidP="00972123">
            <w:pPr>
              <w:jc w:val="both"/>
              <w:rPr>
                <w:rFonts w:ascii="Times New Roman" w:hAnsi="Times New Roman" w:cs="Times New Roman"/>
                <w:sz w:val="26"/>
                <w:szCs w:val="26"/>
              </w:rPr>
            </w:pPr>
            <w:r w:rsidRPr="00CB51AE">
              <w:rPr>
                <w:rFonts w:ascii="Times New Roman" w:hAnsi="Times New Roman" w:cs="Times New Roman"/>
                <w:sz w:val="26"/>
                <w:szCs w:val="26"/>
              </w:rPr>
              <w:t xml:space="preserve">Словарный запас увеличивается за год в среднем до 1500 слов. Индивидуальные различия колеблются от 600 до 2300 слов. </w:t>
            </w:r>
          </w:p>
        </w:tc>
      </w:tr>
    </w:tbl>
    <w:p w:rsidR="004E54C5" w:rsidRDefault="00AC0F60">
      <w:bookmarkStart w:id="0" w:name="_GoBack"/>
      <w:bookmarkEnd w:id="0"/>
    </w:p>
    <w:sectPr w:rsidR="004E5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67"/>
    <w:rsid w:val="00390E08"/>
    <w:rsid w:val="007A5C34"/>
    <w:rsid w:val="008F5767"/>
    <w:rsid w:val="00AC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AA76E-1F06-4FDD-BF2D-BD1AEB0B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Авраам</dc:creator>
  <cp:keywords/>
  <dc:description/>
  <cp:lastModifiedBy>Авраам</cp:lastModifiedBy>
  <cp:revision>2</cp:revision>
  <dcterms:created xsi:type="dcterms:W3CDTF">2024-01-31T13:35:00Z</dcterms:created>
  <dcterms:modified xsi:type="dcterms:W3CDTF">2024-01-31T13:36:00Z</dcterms:modified>
</cp:coreProperties>
</file>