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2E79" w14:textId="49F354BA" w:rsidR="00984ED1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17064C3F" w14:textId="66B34C94"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проведению областного Дня охраны труда с единой повесткой «Электробезопасность. Требования по охране труда при работе с переносным электроинструментом. Обеспечение электротехнического персонала средствами защиты» </w:t>
      </w:r>
    </w:p>
    <w:p w14:paraId="078DB298" w14:textId="7C795FD7"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14.03.2024</w:t>
      </w:r>
    </w:p>
    <w:p w14:paraId="5C29DEA4" w14:textId="6A207F6E" w:rsidR="004E2277" w:rsidRDefault="00FE4C32" w:rsidP="00FE4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C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FE0">
        <w:rPr>
          <w:rFonts w:ascii="Times New Roman" w:hAnsi="Times New Roman" w:cs="Times New Roman"/>
          <w:sz w:val="28"/>
          <w:szCs w:val="28"/>
        </w:rPr>
        <w:t xml:space="preserve">Анализ произошедших в </w:t>
      </w:r>
      <w:r w:rsidRPr="00FE4C32">
        <w:rPr>
          <w:rFonts w:ascii="Times New Roman" w:hAnsi="Times New Roman" w:cs="Times New Roman"/>
          <w:sz w:val="28"/>
          <w:szCs w:val="28"/>
        </w:rPr>
        <w:t xml:space="preserve">Республике Беларусь </w:t>
      </w:r>
      <w:r w:rsidR="00E21FE0">
        <w:rPr>
          <w:rFonts w:ascii="Times New Roman" w:hAnsi="Times New Roman" w:cs="Times New Roman"/>
          <w:sz w:val="28"/>
          <w:szCs w:val="28"/>
        </w:rPr>
        <w:t xml:space="preserve">за последние несколько лет </w:t>
      </w:r>
      <w:r>
        <w:rPr>
          <w:rFonts w:ascii="Times New Roman" w:hAnsi="Times New Roman" w:cs="Times New Roman"/>
          <w:sz w:val="28"/>
          <w:szCs w:val="28"/>
        </w:rPr>
        <w:t>несчастны</w:t>
      </w:r>
      <w:r w:rsidR="00E21F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21FE0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электротравматизма, </w:t>
      </w:r>
      <w:r w:rsidR="00571A01">
        <w:rPr>
          <w:rFonts w:ascii="Times New Roman" w:hAnsi="Times New Roman" w:cs="Times New Roman"/>
          <w:sz w:val="28"/>
          <w:szCs w:val="28"/>
        </w:rPr>
        <w:t xml:space="preserve">свидетельствует о том, что немалое их количество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571A01">
        <w:rPr>
          <w:rFonts w:ascii="Times New Roman" w:hAnsi="Times New Roman" w:cs="Times New Roman"/>
          <w:sz w:val="28"/>
          <w:szCs w:val="28"/>
        </w:rPr>
        <w:t xml:space="preserve">исходит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71A01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 с ручным электроинструментом и вспомогательным оборудованием к нему. Вот обстоятельства </w:t>
      </w:r>
      <w:r w:rsidR="004E2277">
        <w:rPr>
          <w:rFonts w:ascii="Times New Roman" w:hAnsi="Times New Roman" w:cs="Times New Roman"/>
          <w:sz w:val="28"/>
          <w:szCs w:val="28"/>
        </w:rPr>
        <w:t>некоторых из них:</w:t>
      </w:r>
    </w:p>
    <w:p w14:paraId="48627A54" w14:textId="302C0641" w:rsidR="00025C69" w:rsidRDefault="004E2277" w:rsidP="00025C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15.07.2022 года оператор переработки зерна ОАО «Агрокомбинат «Скидельский», находясь в помещении склада, присоеди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няла при помощи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удлинителя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 к сети электроснабжения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электрифицированн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ковшово-шнеков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погрузчи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КШП-5, 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чего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произошло короткое замыкание  в соединителе штепсельного типа с воспламенением  пластиковых элементов, от чего она получила термическую травму.</w:t>
      </w:r>
    </w:p>
    <w:p w14:paraId="6747AA7A" w14:textId="6E39690B" w:rsidR="008F685E" w:rsidRPr="008F685E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5F">
        <w:rPr>
          <w:rFonts w:ascii="Times New Roman" w:hAnsi="Times New Roman" w:cs="Times New Roman"/>
          <w:i/>
          <w:iCs/>
          <w:sz w:val="28"/>
          <w:szCs w:val="28"/>
        </w:rPr>
        <w:t>25.08.2022 года слесарь-ремонтник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завода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Полимир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ОАО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Нафтан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осуществлял подключение к электрической сети, посредством штепсельного соединения к удлинителю, мойку высокого давления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Karcher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HD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10/25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». В результате возникшей электрической дуги, в месте штепсельного присоединения, пострадавший получил ожог обеих рук.</w:t>
      </w:r>
      <w:r w:rsidRPr="006E4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3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3F8B126" w14:textId="250260C8" w:rsidR="00025C69" w:rsidRPr="00025C69" w:rsidRDefault="00025C69" w:rsidP="0002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Каменецком районе Брестской области 31.07.2023 года индивидуальный предприниматель занимался изготовлением бетонных блоков с использованием формовочного станка, подключенного к сети электроснабжения при помощи разъемного соединения. На трехпроводном кабеле питания к двигателю имелось соединение, выполненное скруткой с поврежденной и оплавленной изоляцией,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привело к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вынос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потенциала на корпус формовочного станка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стало причиной несчастного случая со смертельным исходом. </w:t>
      </w:r>
    </w:p>
    <w:p w14:paraId="4D51D5BE" w14:textId="77777777" w:rsid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же несчастные случаи происходят с гражданами и в быту. Так:</w:t>
      </w:r>
    </w:p>
    <w:p w14:paraId="16145D2F" w14:textId="741C1B7E" w:rsidR="00B81654" w:rsidRP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B2">
        <w:rPr>
          <w:rFonts w:ascii="Times New Roman" w:hAnsi="Times New Roman" w:cs="Times New Roman"/>
          <w:i/>
          <w:iCs/>
          <w:sz w:val="28"/>
          <w:szCs w:val="28"/>
        </w:rPr>
        <w:t>13.08.2022 года в Докшицком районе при проведении ремонта автомобиля   с использованием электросварочного аппарата и угловой шлифовальной машин</w:t>
      </w:r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, подключенных с помощью двух последовательно соединенных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между собой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удлинителей, один из которых был самодельным, смертельно травмирован электрическим током внук хозяйки частного домовладения.</w:t>
      </w:r>
    </w:p>
    <w:p w14:paraId="278B9C3F" w14:textId="1C164438" w:rsidR="00466D84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Требования к э</w:t>
      </w:r>
      <w:r w:rsidR="00E619CD" w:rsidRPr="00466D84">
        <w:rPr>
          <w:rFonts w:ascii="Times New Roman" w:hAnsi="Times New Roman" w:cs="Times New Roman"/>
          <w:sz w:val="28"/>
          <w:szCs w:val="28"/>
        </w:rPr>
        <w:t>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переносных и передвижных электроприемников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техническими кодексами установившейся практики </w:t>
      </w:r>
      <w:r w:rsidR="00E619CD" w:rsidRPr="00466D84">
        <w:rPr>
          <w:rFonts w:ascii="Times New Roman" w:hAnsi="Times New Roman" w:cs="Times New Roman"/>
          <w:sz w:val="28"/>
          <w:szCs w:val="28"/>
        </w:rPr>
        <w:t>181-2009 «Правила технической эксплуатации электро</w:t>
      </w:r>
      <w:r w:rsidR="00D80FFD" w:rsidRPr="00466D84">
        <w:rPr>
          <w:rFonts w:ascii="Times New Roman" w:hAnsi="Times New Roman" w:cs="Times New Roman"/>
          <w:sz w:val="28"/>
          <w:szCs w:val="28"/>
        </w:rPr>
        <w:t>установок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потребителей»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0" w:name="_Hlk155679993"/>
      <w:r w:rsidR="00E83FE1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E83FE1">
        <w:rPr>
          <w:rFonts w:ascii="Times New Roman" w:hAnsi="Times New Roman" w:cs="Times New Roman"/>
          <w:sz w:val="28"/>
          <w:szCs w:val="28"/>
        </w:rPr>
        <w:t xml:space="preserve"> ТКП 181-2009)</w:t>
      </w:r>
      <w:r w:rsidR="00D80FFD" w:rsidRPr="00466D84">
        <w:rPr>
          <w:rFonts w:ascii="Times New Roman" w:hAnsi="Times New Roman" w:cs="Times New Roman"/>
          <w:sz w:val="28"/>
          <w:szCs w:val="28"/>
        </w:rPr>
        <w:t xml:space="preserve">, </w:t>
      </w:r>
      <w:r w:rsidR="00D80FFD" w:rsidRPr="00150F65">
        <w:rPr>
          <w:rFonts w:ascii="Times New Roman" w:hAnsi="Times New Roman" w:cs="Times New Roman"/>
          <w:sz w:val="28"/>
          <w:szCs w:val="28"/>
        </w:rPr>
        <w:t>427-2022 «</w:t>
      </w:r>
      <w:r w:rsidR="00150F65" w:rsidRPr="00150F65">
        <w:rPr>
          <w:rFonts w:ascii="Times New Roman" w:hAnsi="Times New Roman" w:cs="Times New Roman"/>
          <w:sz w:val="28"/>
          <w:szCs w:val="28"/>
        </w:rPr>
        <w:t>Электроустановки. Правила по обеспечению безопасности при эксплуатации</w:t>
      </w:r>
      <w:r w:rsidR="00D80FFD" w:rsidRPr="00150F65">
        <w:rPr>
          <w:rFonts w:ascii="Times New Roman" w:hAnsi="Times New Roman" w:cs="Times New Roman"/>
          <w:sz w:val="28"/>
          <w:szCs w:val="28"/>
        </w:rPr>
        <w:t>»</w:t>
      </w:r>
      <w:r w:rsidR="00E83FE1" w:rsidRPr="00150F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 w:rsidRPr="00150F65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 w:rsidRPr="00150F65">
        <w:rPr>
          <w:rFonts w:ascii="Times New Roman" w:hAnsi="Times New Roman" w:cs="Times New Roman"/>
          <w:sz w:val="28"/>
          <w:szCs w:val="28"/>
        </w:rPr>
        <w:t>ТКП 427-2022)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6D84" w:rsidRPr="00466D84">
        <w:rPr>
          <w:rFonts w:ascii="Times New Roman" w:hAnsi="Times New Roman" w:cs="Times New Roman"/>
          <w:sz w:val="28"/>
          <w:szCs w:val="28"/>
        </w:rPr>
        <w:t xml:space="preserve">339-2022 </w:t>
      </w:r>
      <w:r w:rsidR="00466D84" w:rsidRPr="00466D84">
        <w:rPr>
          <w:rFonts w:ascii="Times New Roman" w:hAnsi="Times New Roman" w:cs="Times New Roman"/>
          <w:sz w:val="28"/>
          <w:szCs w:val="28"/>
        </w:rPr>
        <w:lastRenderedPageBreak/>
        <w:t xml:space="preserve">«Электроустановки на напряжение до 750 </w:t>
      </w:r>
      <w:proofErr w:type="spellStart"/>
      <w:r w:rsidR="00466D84" w:rsidRPr="00466D84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="00466D84" w:rsidRPr="00466D84">
        <w:rPr>
          <w:rFonts w:ascii="Times New Roman" w:hAnsi="Times New Roman" w:cs="Times New Roman"/>
          <w:sz w:val="28"/>
          <w:szCs w:val="28"/>
        </w:rPr>
        <w:t xml:space="preserve"> Линии электропередачи воздушные и токопроводы,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>
        <w:rPr>
          <w:rFonts w:ascii="Times New Roman" w:hAnsi="Times New Roman" w:cs="Times New Roman"/>
          <w:sz w:val="28"/>
          <w:szCs w:val="28"/>
        </w:rPr>
        <w:t>ТКП 339-2022)</w:t>
      </w:r>
      <w:r w:rsidR="00466D84">
        <w:rPr>
          <w:rFonts w:ascii="Times New Roman" w:hAnsi="Times New Roman" w:cs="Times New Roman"/>
          <w:sz w:val="28"/>
          <w:szCs w:val="28"/>
        </w:rPr>
        <w:t>.</w:t>
      </w:r>
    </w:p>
    <w:p w14:paraId="3DA31E92" w14:textId="574D0E7F" w:rsidR="00466D84" w:rsidRPr="008F685E" w:rsidRDefault="008F685E" w:rsidP="008F6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6D84" w:rsidRPr="008F685E">
        <w:rPr>
          <w:rFonts w:ascii="Times New Roman" w:hAnsi="Times New Roman" w:cs="Times New Roman"/>
          <w:sz w:val="28"/>
          <w:szCs w:val="28"/>
        </w:rPr>
        <w:t>При организации эксплуатации конкретного вида переносных, передвижных электроприемников</w:t>
      </w:r>
      <w:r>
        <w:rPr>
          <w:rFonts w:ascii="Times New Roman" w:hAnsi="Times New Roman" w:cs="Times New Roman"/>
          <w:sz w:val="28"/>
          <w:szCs w:val="28"/>
        </w:rPr>
        <w:t xml:space="preserve">, к которым относятся: </w:t>
      </w:r>
      <w:r w:rsidR="00466D84" w:rsidRPr="008F685E">
        <w:rPr>
          <w:rFonts w:ascii="Times New Roman" w:hAnsi="Times New Roman" w:cs="Times New Roman"/>
          <w:sz w:val="28"/>
          <w:szCs w:val="28"/>
        </w:rPr>
        <w:t xml:space="preserve">электроинструмент, электрические машины,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466D84" w:rsidRPr="008F685E">
        <w:rPr>
          <w:rFonts w:ascii="Times New Roman" w:hAnsi="Times New Roman" w:cs="Times New Roman"/>
          <w:sz w:val="28"/>
          <w:szCs w:val="28"/>
        </w:rPr>
        <w:t xml:space="preserve">светильники, сварочные установки, насосы, компрессоры и т.п.),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6D84" w:rsidRPr="008F685E">
        <w:rPr>
          <w:rFonts w:ascii="Times New Roman" w:hAnsi="Times New Roman" w:cs="Times New Roman"/>
          <w:sz w:val="28"/>
          <w:szCs w:val="28"/>
        </w:rPr>
        <w:t>вспомогательного оборудования к ним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D84" w:rsidRPr="008F685E">
        <w:rPr>
          <w:rFonts w:ascii="Times New Roman" w:hAnsi="Times New Roman" w:cs="Times New Roman"/>
          <w:sz w:val="28"/>
          <w:szCs w:val="28"/>
        </w:rPr>
        <w:t>разделительные и понижающие трансформаторы</w:t>
      </w:r>
      <w:r>
        <w:rPr>
          <w:rFonts w:ascii="Times New Roman" w:hAnsi="Times New Roman" w:cs="Times New Roman"/>
          <w:sz w:val="28"/>
          <w:szCs w:val="28"/>
        </w:rPr>
        <w:t xml:space="preserve"> (переносные)</w:t>
      </w:r>
      <w:r w:rsidR="00466D84" w:rsidRPr="008F685E">
        <w:rPr>
          <w:rFonts w:ascii="Times New Roman" w:hAnsi="Times New Roman" w:cs="Times New Roman"/>
          <w:sz w:val="28"/>
          <w:szCs w:val="28"/>
        </w:rPr>
        <w:t>, преобразователи частоты, устройства защитного отключения, кабели-удлинители и т.п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D84" w:rsidRPr="008F685E">
        <w:rPr>
          <w:rFonts w:ascii="Times New Roman" w:hAnsi="Times New Roman" w:cs="Times New Roman"/>
          <w:sz w:val="28"/>
          <w:szCs w:val="28"/>
        </w:rPr>
        <w:t>необходимо учитывать дополнительные требования, изложенные в эксплуатационных документах изготовителя.</w:t>
      </w:r>
    </w:p>
    <w:p w14:paraId="31920608" w14:textId="65F81500" w:rsidR="00D25C5F" w:rsidRPr="00287C20" w:rsidRDefault="00287C20" w:rsidP="0028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C5F" w:rsidRPr="00287C20">
        <w:rPr>
          <w:rFonts w:ascii="Times New Roman" w:hAnsi="Times New Roman" w:cs="Times New Roman"/>
          <w:sz w:val="28"/>
          <w:szCs w:val="28"/>
        </w:rPr>
        <w:t>Переносные и передвижные электроприемники, вспомогательное оборудование к ним, в том числе иностранного производства, подлежащие обязательной сертификации, должны иметь сертификаты соответствия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C59D7" w14:textId="77777777" w:rsidR="00431B3D" w:rsidRDefault="00287C20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C5F" w:rsidRPr="00287C20">
        <w:rPr>
          <w:rFonts w:ascii="Times New Roman" w:hAnsi="Times New Roman" w:cs="Times New Roman"/>
          <w:sz w:val="28"/>
          <w:szCs w:val="28"/>
        </w:rPr>
        <w:t>Подключение (отключение) к (от) электрической сети переносных и передвижных электроприемников при помощи втычных соединителей или штепсельных соединений, удовлетворяющих требованиям электробезопасности, должен выполнять персонал, допущенный к работе с этими электроприемниками</w:t>
      </w:r>
      <w:r w:rsidR="00D66310">
        <w:rPr>
          <w:rFonts w:ascii="Times New Roman" w:hAnsi="Times New Roman" w:cs="Times New Roman"/>
          <w:sz w:val="28"/>
          <w:szCs w:val="28"/>
        </w:rPr>
        <w:t xml:space="preserve">, а подключаемые </w:t>
      </w:r>
      <w:r w:rsidR="007B6A96" w:rsidRPr="00D66310">
        <w:rPr>
          <w:rFonts w:ascii="Times New Roman" w:hAnsi="Times New Roman" w:cs="Times New Roman"/>
          <w:sz w:val="28"/>
          <w:szCs w:val="28"/>
        </w:rPr>
        <w:t>с помощью разборных контактных соединений</w:t>
      </w:r>
      <w:r w:rsidR="00D66310">
        <w:rPr>
          <w:rFonts w:ascii="Times New Roman" w:hAnsi="Times New Roman" w:cs="Times New Roman"/>
          <w:sz w:val="28"/>
          <w:szCs w:val="28"/>
        </w:rPr>
        <w:t xml:space="preserve"> - </w:t>
      </w:r>
      <w:r w:rsidR="007B6A96" w:rsidRPr="00D66310">
        <w:rPr>
          <w:rFonts w:ascii="Times New Roman" w:hAnsi="Times New Roman" w:cs="Times New Roman"/>
          <w:sz w:val="28"/>
          <w:szCs w:val="28"/>
        </w:rPr>
        <w:t>электротехнический персонал, имеющий группу по</w:t>
      </w:r>
      <w:r w:rsidR="001C501A" w:rsidRPr="00D66310">
        <w:rPr>
          <w:rFonts w:ascii="Times New Roman" w:hAnsi="Times New Roman" w:cs="Times New Roman"/>
          <w:sz w:val="28"/>
          <w:szCs w:val="28"/>
        </w:rPr>
        <w:t xml:space="preserve"> </w:t>
      </w:r>
      <w:r w:rsidR="007B6A96" w:rsidRPr="00D66310">
        <w:rPr>
          <w:rFonts w:ascii="Times New Roman" w:hAnsi="Times New Roman" w:cs="Times New Roman"/>
          <w:sz w:val="28"/>
          <w:szCs w:val="28"/>
        </w:rPr>
        <w:t>электробезопасности не ниже III, эксплуатирующий электрическую сеть.</w:t>
      </w:r>
    </w:p>
    <w:p w14:paraId="3595B1D8" w14:textId="77777777" w:rsidR="00431B3D" w:rsidRDefault="00431B3D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Для поддержания исправного состояния, проведения периодических проверок переносных и передвижных электроприемников, вспомогательного оборудования к ним </w:t>
      </w:r>
      <w:r>
        <w:rPr>
          <w:rFonts w:ascii="Times New Roman" w:hAnsi="Times New Roman" w:cs="Times New Roman"/>
          <w:sz w:val="28"/>
          <w:szCs w:val="28"/>
        </w:rPr>
        <w:t xml:space="preserve">на каждом предприятии (организации) </w:t>
      </w:r>
      <w:r w:rsidR="00337CCB" w:rsidRPr="00337CCB">
        <w:rPr>
          <w:rFonts w:ascii="Times New Roman" w:hAnsi="Times New Roman" w:cs="Times New Roman"/>
          <w:sz w:val="28"/>
          <w:szCs w:val="28"/>
        </w:rPr>
        <w:t>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дительным документом </w:t>
      </w:r>
      <w:r w:rsidR="00337CCB" w:rsidRPr="00337CCB">
        <w:rPr>
          <w:rFonts w:ascii="Times New Roman" w:hAnsi="Times New Roman" w:cs="Times New Roman"/>
          <w:sz w:val="28"/>
          <w:szCs w:val="28"/>
        </w:rPr>
        <w:t>должен быть назначен ответственный работник или работники, имеющие группу по электробезопасности не ниже III. Данные работники обязаны вести журнал регистрации,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 w14:paraId="5F19C238" w14:textId="49D6F1D0" w:rsidR="00FA7F8F" w:rsidRDefault="00431B3D" w:rsidP="00FA7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F8F" w:rsidRPr="00FE6637">
        <w:rPr>
          <w:rFonts w:ascii="Times New Roman" w:hAnsi="Times New Roman" w:cs="Times New Roman"/>
          <w:sz w:val="28"/>
          <w:szCs w:val="28"/>
        </w:rPr>
        <w:t>В процессе эксплуатации переносные, передвижные электроприемники, вспомогательное оборудование к ним должны подвергаться техническому обслуживанию, испытаниям и измерениям, планово-предупредительным ремонтам в соответствии с эксплуатационными документами изготовителей</w:t>
      </w:r>
      <w:r w:rsidR="00FA7F8F">
        <w:rPr>
          <w:rFonts w:ascii="Times New Roman" w:hAnsi="Times New Roman" w:cs="Times New Roman"/>
          <w:sz w:val="28"/>
          <w:szCs w:val="28"/>
        </w:rPr>
        <w:t>.</w:t>
      </w:r>
    </w:p>
    <w:p w14:paraId="37AF34D6" w14:textId="77777777" w:rsidR="00FA7F8F" w:rsidRPr="00FA7F8F" w:rsidRDefault="00FA7F8F" w:rsidP="00FA7F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4C7CD" w14:textId="77777777"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8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31B3D">
        <w:rPr>
          <w:rFonts w:ascii="Times New Roman" w:hAnsi="Times New Roman" w:cs="Times New Roman"/>
          <w:sz w:val="28"/>
          <w:szCs w:val="28"/>
        </w:rPr>
        <w:t>Указанные электро</w:t>
      </w:r>
      <w:r>
        <w:rPr>
          <w:rFonts w:ascii="Times New Roman" w:hAnsi="Times New Roman" w:cs="Times New Roman"/>
          <w:sz w:val="28"/>
          <w:szCs w:val="28"/>
        </w:rPr>
        <w:t xml:space="preserve">приемники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должны подвергаться периодической проверке не реже одного раза в 6 месяцев. </w:t>
      </w:r>
      <w:r w:rsidRPr="00FE6637">
        <w:rPr>
          <w:rFonts w:ascii="Times New Roman" w:hAnsi="Times New Roman" w:cs="Times New Roman"/>
          <w:sz w:val="28"/>
          <w:szCs w:val="28"/>
        </w:rPr>
        <w:t>В объем периодической проверки входят:</w:t>
      </w:r>
    </w:p>
    <w:p w14:paraId="3D6A941B" w14:textId="03BE0B33"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 xml:space="preserve">  внешний осмотр;</w:t>
      </w:r>
    </w:p>
    <w:p w14:paraId="3CC0A261" w14:textId="5282E677"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2331">
        <w:rPr>
          <w:rFonts w:ascii="Times New Roman" w:hAnsi="Times New Roman" w:cs="Times New Roman"/>
          <w:sz w:val="28"/>
          <w:szCs w:val="28"/>
        </w:rPr>
        <w:t>п</w:t>
      </w:r>
      <w:r w:rsidRPr="00FE6637">
        <w:rPr>
          <w:rFonts w:ascii="Times New Roman" w:hAnsi="Times New Roman" w:cs="Times New Roman"/>
          <w:sz w:val="28"/>
          <w:szCs w:val="28"/>
        </w:rPr>
        <w:t>роверка работы на холостом ходу в течение не менее 5 мин;</w:t>
      </w:r>
    </w:p>
    <w:p w14:paraId="45224385" w14:textId="09A0C2E6"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37">
        <w:rPr>
          <w:rFonts w:ascii="Times New Roman" w:hAnsi="Times New Roman" w:cs="Times New Roman"/>
          <w:sz w:val="28"/>
          <w:szCs w:val="28"/>
        </w:rPr>
        <w:t>измерение сопротивления изоляции;</w:t>
      </w:r>
    </w:p>
    <w:p w14:paraId="2D03A793" w14:textId="7B43BE20"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331">
        <w:rPr>
          <w:rFonts w:ascii="Times New Roman" w:hAnsi="Times New Roman" w:cs="Times New Roman"/>
          <w:sz w:val="28"/>
          <w:szCs w:val="28"/>
        </w:rPr>
        <w:t xml:space="preserve">  </w:t>
      </w:r>
      <w:r w:rsidRPr="00FE6637">
        <w:rPr>
          <w:rFonts w:ascii="Times New Roman" w:hAnsi="Times New Roman" w:cs="Times New Roman"/>
          <w:sz w:val="28"/>
          <w:szCs w:val="28"/>
        </w:rPr>
        <w:t xml:space="preserve">проверка исправности цепи заземления электроприемников и вспомогательного оборудования классов 0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6637">
        <w:rPr>
          <w:rFonts w:ascii="Times New Roman" w:hAnsi="Times New Roman" w:cs="Times New Roman"/>
          <w:sz w:val="28"/>
          <w:szCs w:val="28"/>
        </w:rPr>
        <w:t>.</w:t>
      </w:r>
    </w:p>
    <w:p w14:paraId="23362471" w14:textId="77777777"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 w:rsidR="00431B3D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работники отражают в журнале регистрации, инвентарного учета, периодической проверки и ремонта переносных и передвижных электроприемников, вспомогательного оборудования к ним. На корпусе каждого переносного и передвижного электроприемника, вспомогательного оборудования к ним или на специальной табличке, закрепленной на них безопасным способом, должны быть указаны </w:t>
      </w:r>
      <w:r w:rsidR="00431B3D">
        <w:rPr>
          <w:rFonts w:ascii="Times New Roman" w:hAnsi="Times New Roman" w:cs="Times New Roman"/>
          <w:sz w:val="28"/>
          <w:szCs w:val="28"/>
        </w:rPr>
        <w:t xml:space="preserve">их </w:t>
      </w:r>
      <w:r w:rsidR="00337CCB" w:rsidRPr="00337CCB">
        <w:rPr>
          <w:rFonts w:ascii="Times New Roman" w:hAnsi="Times New Roman" w:cs="Times New Roman"/>
          <w:sz w:val="28"/>
          <w:szCs w:val="28"/>
        </w:rPr>
        <w:t>инвентарные номера и даты следующих проверок.</w:t>
      </w:r>
    </w:p>
    <w:p w14:paraId="706147C2" w14:textId="4E2EF83A" w:rsidR="00D44A9D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A9D" w:rsidRPr="00D44A9D">
        <w:rPr>
          <w:rFonts w:ascii="Times New Roman" w:hAnsi="Times New Roman" w:cs="Times New Roman"/>
          <w:sz w:val="28"/>
          <w:szCs w:val="28"/>
        </w:rPr>
        <w:t>При выполнении мер защиты в электроустановках напряжением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9D" w:rsidRPr="00D44A9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44A9D" w:rsidRPr="00D44A9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44A9D" w:rsidRPr="00D44A9D">
        <w:rPr>
          <w:rFonts w:ascii="Times New Roman" w:hAnsi="Times New Roman" w:cs="Times New Roman"/>
          <w:sz w:val="28"/>
          <w:szCs w:val="28"/>
        </w:rPr>
        <w:t xml:space="preserve"> классы применяемого электрооборудования по способу защиты человека от поражения электрическим током по ГОСТ 12.2.007.0 следует принимать в соответствии с таблицей 4.3.3 ТКП 339-2022</w:t>
      </w:r>
    </w:p>
    <w:p w14:paraId="7AF5A4A1" w14:textId="77777777" w:rsidR="000F5385" w:rsidRPr="00FA7F8F" w:rsidRDefault="000F5385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 w:firstRow="1" w:lastRow="0" w:firstColumn="1" w:lastColumn="0" w:noHBand="0" w:noVBand="1"/>
      </w:tblPr>
      <w:tblGrid>
        <w:gridCol w:w="1926"/>
        <w:gridCol w:w="1925"/>
        <w:gridCol w:w="2042"/>
        <w:gridCol w:w="3883"/>
      </w:tblGrid>
      <w:tr w:rsidR="00C42280" w:rsidRPr="00D44A9D" w14:paraId="3FFF3E76" w14:textId="77777777" w:rsidTr="00C42280">
        <w:trPr>
          <w:jc w:val="right"/>
        </w:trPr>
        <w:tc>
          <w:tcPr>
            <w:tcW w:w="1926" w:type="dxa"/>
          </w:tcPr>
          <w:p w14:paraId="5F0AE0C0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Класс</w:t>
            </w:r>
          </w:p>
          <w:p w14:paraId="3F5D0895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по ГОСТ</w:t>
            </w:r>
          </w:p>
          <w:p w14:paraId="6F1F0601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12.2.007.0</w:t>
            </w:r>
          </w:p>
        </w:tc>
        <w:tc>
          <w:tcPr>
            <w:tcW w:w="1925" w:type="dxa"/>
          </w:tcPr>
          <w:p w14:paraId="14365851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Маркировка</w:t>
            </w:r>
          </w:p>
        </w:tc>
        <w:tc>
          <w:tcPr>
            <w:tcW w:w="2042" w:type="dxa"/>
          </w:tcPr>
          <w:p w14:paraId="03E6C9F6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Назначение защиты</w:t>
            </w:r>
          </w:p>
        </w:tc>
        <w:tc>
          <w:tcPr>
            <w:tcW w:w="3883" w:type="dxa"/>
          </w:tcPr>
          <w:p w14:paraId="47DE8E20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Условия применения электрооборудования в электроустановке</w:t>
            </w:r>
          </w:p>
        </w:tc>
      </w:tr>
      <w:tr w:rsidR="00C42280" w:rsidRPr="00D44A9D" w14:paraId="72008AD4" w14:textId="77777777" w:rsidTr="00C42280">
        <w:trPr>
          <w:jc w:val="right"/>
        </w:trPr>
        <w:tc>
          <w:tcPr>
            <w:tcW w:w="1926" w:type="dxa"/>
          </w:tcPr>
          <w:p w14:paraId="6582EBF6" w14:textId="77777777" w:rsidR="000F5385" w:rsidRDefault="00D44A9D" w:rsidP="00C4228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Класс 0</w:t>
            </w:r>
            <w:r w:rsidR="00C4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280"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0C10BB" w14:textId="75194542" w:rsidR="00C42280" w:rsidRPr="00D44A9D" w:rsidRDefault="00C42280" w:rsidP="00C422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  <w:r w:rsidR="000F53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имеется только рабочая изоляция, дополнительная изоляция металлических нетоковедущих частей не предусмотрена, заземление не предусмотрено</w:t>
            </w:r>
          </w:p>
        </w:tc>
        <w:tc>
          <w:tcPr>
            <w:tcW w:w="1925" w:type="dxa"/>
          </w:tcPr>
          <w:p w14:paraId="6FEAA3EE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14:paraId="179FE50A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83" w:type="dxa"/>
          </w:tcPr>
          <w:p w14:paraId="412AF115" w14:textId="77777777" w:rsidR="008C7459" w:rsidRPr="00347A0C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1. Применение в непроводящих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помещениях.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10318" w14:textId="7F4F59BE" w:rsidR="00D44A9D" w:rsidRPr="00D44A9D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2. Питание от вторичной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бмотки разделительного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трансформатора только одного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электроприемника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7B5643" w14:textId="19A925EE" w:rsidR="00C42280" w:rsidRDefault="00C42280"/>
    <w:p w14:paraId="0920C9EC" w14:textId="49EF0786" w:rsidR="00C42280" w:rsidRDefault="00C42280"/>
    <w:p w14:paraId="720080A2" w14:textId="1853C8B4" w:rsidR="00C42280" w:rsidRDefault="00C42280"/>
    <w:p w14:paraId="614772FC" w14:textId="0D132656" w:rsidR="00C42280" w:rsidRDefault="00C42280"/>
    <w:p w14:paraId="32B25D3A" w14:textId="77777777" w:rsidR="00C42280" w:rsidRDefault="00C42280"/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827"/>
      </w:tblGrid>
      <w:tr w:rsidR="00C42280" w:rsidRPr="00D44A9D" w14:paraId="412E9835" w14:textId="77777777" w:rsidTr="00C42280">
        <w:trPr>
          <w:jc w:val="right"/>
        </w:trPr>
        <w:tc>
          <w:tcPr>
            <w:tcW w:w="1980" w:type="dxa"/>
          </w:tcPr>
          <w:p w14:paraId="4242BB79" w14:textId="343C77F4" w:rsidR="00C42280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A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9DAE26D" w14:textId="54404FD0" w:rsidR="00D44A9D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заземлением металлического корпуса, провод для присоединения к источнику питания имеет заземляющую жилу и вилку с заземляющим контактом</w:t>
            </w:r>
          </w:p>
        </w:tc>
        <w:tc>
          <w:tcPr>
            <w:tcW w:w="1984" w:type="dxa"/>
          </w:tcPr>
          <w:p w14:paraId="7D2D295D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зажим – знак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FA366" wp14:editId="5A1C6F19">
                  <wp:extent cx="666750" cy="666750"/>
                  <wp:effectExtent l="0" t="0" r="0" b="0"/>
                  <wp:docPr id="3" name="Рисунок 3" descr="Заземление (круглый) | Рекламное агентство &quot;МОЛН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земление (круглый) | Рекламное агентство &quot;МОЛН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        или буквы РЕ,</w:t>
            </w:r>
          </w:p>
          <w:p w14:paraId="4898D6B6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или желто-зеленые </w:t>
            </w:r>
          </w:p>
          <w:p w14:paraId="2A71DCC2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</w:tc>
        <w:tc>
          <w:tcPr>
            <w:tcW w:w="1985" w:type="dxa"/>
          </w:tcPr>
          <w:p w14:paraId="6D2ED3BE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14:paraId="5EAD80AF" w14:textId="2232CBE8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Присоединение заземляющего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зажима электрооборудования к защитному проводнику электроустановки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14:paraId="052B362F" w14:textId="77777777" w:rsidTr="00C42280">
        <w:trPr>
          <w:jc w:val="right"/>
        </w:trPr>
        <w:tc>
          <w:tcPr>
            <w:tcW w:w="1980" w:type="dxa"/>
          </w:tcPr>
          <w:p w14:paraId="5EC4261B" w14:textId="77777777"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39212E7" w14:textId="25F6D0F2"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дополнительными мерами безопасности, такими как двойная и усиленная изоляция, и который не имеет защитного провода или защитного контакта заземления</w:t>
            </w:r>
          </w:p>
        </w:tc>
        <w:tc>
          <w:tcPr>
            <w:tcW w:w="1984" w:type="dxa"/>
          </w:tcPr>
          <w:p w14:paraId="05EC061B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</w:p>
          <w:p w14:paraId="4AB2F9A6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EF344" wp14:editId="772741BB">
                  <wp:extent cx="525145" cy="469265"/>
                  <wp:effectExtent l="0" t="0" r="825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F2025DA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14:paraId="3467977C" w14:textId="11C53CC1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Независимо от мер защиты,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принятых в электроустановке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14:paraId="6AED53C3" w14:textId="77777777" w:rsidTr="00C42280">
        <w:trPr>
          <w:jc w:val="right"/>
        </w:trPr>
        <w:tc>
          <w:tcPr>
            <w:tcW w:w="1980" w:type="dxa"/>
          </w:tcPr>
          <w:p w14:paraId="3C9E4891" w14:textId="77777777"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5CA5D26" w14:textId="245D185E"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электроинструмент, в котором защита от поражения электрическим током основана на питании от источника безопасного сверхнизкого напряжения, в котором не возникают напряжения выше 50 В переменного тока и 120 В постоянного тока (разделительный трансформатор)</w:t>
            </w:r>
          </w:p>
        </w:tc>
        <w:tc>
          <w:tcPr>
            <w:tcW w:w="1984" w:type="dxa"/>
          </w:tcPr>
          <w:p w14:paraId="1F645DDD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18E75" wp14:editId="1492EB29">
                  <wp:extent cx="647065" cy="71374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21" cy="71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8719FB4" w14:textId="77777777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От прямого и косвенного прикосновения</w:t>
            </w:r>
          </w:p>
        </w:tc>
        <w:tc>
          <w:tcPr>
            <w:tcW w:w="3827" w:type="dxa"/>
          </w:tcPr>
          <w:p w14:paraId="6A08B3F9" w14:textId="56B877CD"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Питание от безопасного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DD6CE5" w14:textId="3CB9B358" w:rsidR="00BF7306" w:rsidRDefault="00BF7306" w:rsidP="00BF7306">
      <w:pPr>
        <w:rPr>
          <w:rFonts w:ascii="Times New Roman" w:hAnsi="Times New Roman" w:cs="Times New Roman"/>
          <w:sz w:val="28"/>
          <w:szCs w:val="28"/>
        </w:rPr>
      </w:pPr>
    </w:p>
    <w:p w14:paraId="1346CCA6" w14:textId="77777777"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811B1" w14:textId="77777777"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0866C" w14:textId="77777777"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7BDA1" w14:textId="77777777" w:rsidR="00860E5C" w:rsidRDefault="00860E5C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84ED1" w:rsidRPr="00984ED1">
        <w:rPr>
          <w:rFonts w:ascii="Times New Roman" w:hAnsi="Times New Roman" w:cs="Times New Roman"/>
          <w:sz w:val="28"/>
          <w:szCs w:val="28"/>
        </w:rPr>
        <w:t>Использование сетей освещения для подключения каких-либо переносных или передвижных электроприемников не допускается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14:paraId="74BC7ED5" w14:textId="77777777" w:rsidR="00860E5C" w:rsidRDefault="00860E5C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84ED1" w:rsidRPr="00984ED1">
        <w:rPr>
          <w:rFonts w:ascii="Times New Roman" w:hAnsi="Times New Roman" w:cs="Times New Roman"/>
          <w:sz w:val="28"/>
          <w:szCs w:val="28"/>
        </w:rPr>
        <w:t>Для питания переносных (ручных) электрических светильников в помещениях с повышенной опасностью и в особо опасных помещениях должно применяться напряжение не выше 25 В, а при работах в особо неблагоприятных условиях, когда опасность поражения электрическим током усугубляется теснотой, неудобным положением работающего, соприкосновением с большими металлическими, хорошо заземленными поверхностями (например, работа в котлах, смотровых ямах гаражей и т.п.), и в наружных установках – не выше 12 В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14:paraId="6C2A089E" w14:textId="017961B4" w:rsidR="00CD72A1" w:rsidRPr="00860E5C" w:rsidRDefault="00860E5C" w:rsidP="00860E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748E2" w:rsidRPr="00AC2911">
        <w:rPr>
          <w:rFonts w:ascii="Times New Roman" w:hAnsi="Times New Roman" w:cs="Times New Roman"/>
          <w:sz w:val="28"/>
          <w:szCs w:val="28"/>
        </w:rPr>
        <w:t>Класс ручного электромеханического инструмента должен соответствовать категории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помещения и условиям использования в работе, с применением в отдельных случаях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электрозащитных средств. Применение ручного электромеханического инструмента различных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>классов с использованием электрозащитных средств в зависимости от места проведения работ</w:t>
      </w:r>
      <w:r w:rsidR="00AC2911">
        <w:rPr>
          <w:rFonts w:ascii="Times New Roman" w:hAnsi="Times New Roman" w:cs="Times New Roman"/>
          <w:sz w:val="28"/>
          <w:szCs w:val="28"/>
        </w:rPr>
        <w:t xml:space="preserve"> </w:t>
      </w:r>
      <w:r w:rsidR="003748E2" w:rsidRPr="00AC291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753765">
        <w:rPr>
          <w:rFonts w:ascii="Times New Roman" w:hAnsi="Times New Roman" w:cs="Times New Roman"/>
          <w:sz w:val="28"/>
          <w:szCs w:val="28"/>
        </w:rPr>
        <w:t xml:space="preserve">обязательным для применения </w:t>
      </w:r>
      <w:r w:rsidR="003748E2" w:rsidRPr="00AC2911">
        <w:rPr>
          <w:rFonts w:ascii="Times New Roman" w:hAnsi="Times New Roman" w:cs="Times New Roman"/>
          <w:sz w:val="28"/>
          <w:szCs w:val="28"/>
        </w:rPr>
        <w:t>приложением Л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ТКП 427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5097"/>
      </w:tblGrid>
      <w:tr w:rsidR="00CD72A1" w14:paraId="2822EF19" w14:textId="77777777" w:rsidTr="00860E5C">
        <w:tc>
          <w:tcPr>
            <w:tcW w:w="2830" w:type="dxa"/>
          </w:tcPr>
          <w:p w14:paraId="76C101DD" w14:textId="1EA0DDB6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Место проведения работ</w:t>
            </w:r>
          </w:p>
        </w:tc>
        <w:tc>
          <w:tcPr>
            <w:tcW w:w="1418" w:type="dxa"/>
          </w:tcPr>
          <w:p w14:paraId="49B27E8C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Класс ручного</w:t>
            </w:r>
          </w:p>
          <w:p w14:paraId="5FADAB68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электромеханического</w:t>
            </w:r>
          </w:p>
          <w:p w14:paraId="249599DD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инструмента по типу</w:t>
            </w:r>
          </w:p>
          <w:p w14:paraId="1A3C680A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защиты от поражения</w:t>
            </w:r>
          </w:p>
          <w:p w14:paraId="1A6FF651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электрическим током</w:t>
            </w:r>
          </w:p>
          <w:p w14:paraId="65717A10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3C606EBD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Условия применения электрозащитных</w:t>
            </w:r>
          </w:p>
          <w:p w14:paraId="5A8522B9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средств</w:t>
            </w:r>
          </w:p>
          <w:p w14:paraId="4D649E8A" w14:textId="77777777"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</w:tr>
      <w:tr w:rsidR="0011644A" w14:paraId="69A46485" w14:textId="77777777" w:rsidTr="00860E5C">
        <w:trPr>
          <w:trHeight w:val="3331"/>
        </w:trPr>
        <w:tc>
          <w:tcPr>
            <w:tcW w:w="2830" w:type="dxa"/>
            <w:vMerge w:val="restart"/>
          </w:tcPr>
          <w:p w14:paraId="5078277C" w14:textId="159E7865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без повышенной опасности</w:t>
            </w:r>
          </w:p>
          <w:p w14:paraId="64CBA9D5" w14:textId="4A67C1A2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с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повышенной опасностью</w:t>
            </w:r>
          </w:p>
          <w:p w14:paraId="5F3B5930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96EBE" w14:textId="46464026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97" w:type="dxa"/>
          </w:tcPr>
          <w:p w14:paraId="11B6D4B5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 применением хотя бы одного из</w:t>
            </w:r>
          </w:p>
          <w:p w14:paraId="2E0AEA7D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электрозащитных средств</w:t>
            </w:r>
          </w:p>
          <w:p w14:paraId="73D282DE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(электроизолирующие перчатки, галоши,</w:t>
            </w:r>
          </w:p>
          <w:p w14:paraId="6DF36719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подставки).</w:t>
            </w:r>
          </w:p>
          <w:p w14:paraId="0E63AD6B" w14:textId="6C9C7273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 при питании только одного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электроприемника (машина или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инструмент) от отдельного источника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(разделительный трансформатор,</w:t>
            </w:r>
          </w:p>
          <w:p w14:paraId="2C0EE3F6" w14:textId="66203025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автономная двигатель-генераторная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установка, преобразователь частоты с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разделительными обмотками) или при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подключении через устройство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защитного отключения</w:t>
            </w:r>
          </w:p>
          <w:p w14:paraId="6A7A1C81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14:paraId="1E1E3F64" w14:textId="77777777" w:rsidTr="00860E5C">
        <w:trPr>
          <w:trHeight w:val="565"/>
        </w:trPr>
        <w:tc>
          <w:tcPr>
            <w:tcW w:w="2830" w:type="dxa"/>
            <w:vMerge/>
          </w:tcPr>
          <w:p w14:paraId="1C104855" w14:textId="77777777"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5338859"/>
          </w:p>
        </w:tc>
        <w:tc>
          <w:tcPr>
            <w:tcW w:w="1418" w:type="dxa"/>
          </w:tcPr>
          <w:p w14:paraId="37B39B0E" w14:textId="055290CA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14:paraId="07C38E9B" w14:textId="7420D5D0"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00502814" w14:textId="18CF6133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14:paraId="372849B3" w14:textId="77777777" w:rsidTr="00860E5C">
        <w:trPr>
          <w:trHeight w:val="577"/>
        </w:trPr>
        <w:tc>
          <w:tcPr>
            <w:tcW w:w="2830" w:type="dxa"/>
            <w:vMerge/>
          </w:tcPr>
          <w:p w14:paraId="097294AF" w14:textId="77777777"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BEA5AA" w14:textId="0EB5EFE8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14:paraId="4055BE65" w14:textId="5FAB60D9"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2BE6250E" w14:textId="2E0F265C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753765" w14:paraId="69532B3D" w14:textId="77777777" w:rsidTr="00860E5C">
        <w:trPr>
          <w:trHeight w:val="1723"/>
        </w:trPr>
        <w:tc>
          <w:tcPr>
            <w:tcW w:w="2830" w:type="dxa"/>
            <w:vMerge w:val="restart"/>
          </w:tcPr>
          <w:p w14:paraId="0A20B85F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 опасные помещения</w:t>
            </w:r>
          </w:p>
          <w:p w14:paraId="5884F4FE" w14:textId="2622569C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Вне помещений (наружные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  <w:p w14:paraId="62B1231F" w14:textId="77777777"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6EEEC0" w14:textId="77777777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409D502D" w14:textId="77777777"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39CAA66" w14:textId="00748482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 подключением через устройство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защитного отключения или с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применением хотя бы одного</w:t>
            </w:r>
          </w:p>
          <w:p w14:paraId="26337FA9" w14:textId="176DD313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электрозащитного средства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(электроизолирующие перчатки, галоши,</w:t>
            </w:r>
          </w:p>
          <w:p w14:paraId="20B5351D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</w:t>
            </w:r>
          </w:p>
          <w:p w14:paraId="6E19A81C" w14:textId="77777777"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14:paraId="5D1E76F4" w14:textId="77777777" w:rsidTr="00860E5C">
        <w:trPr>
          <w:trHeight w:val="546"/>
        </w:trPr>
        <w:tc>
          <w:tcPr>
            <w:tcW w:w="2830" w:type="dxa"/>
            <w:vMerge/>
          </w:tcPr>
          <w:p w14:paraId="2133D71A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FD4F7" w14:textId="63F57992"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14:paraId="5DB4193B" w14:textId="266837F4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2C29DD60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14:paraId="0EA65E7C" w14:textId="77777777" w:rsidTr="00860E5C">
        <w:trPr>
          <w:trHeight w:val="557"/>
        </w:trPr>
        <w:tc>
          <w:tcPr>
            <w:tcW w:w="2830" w:type="dxa"/>
            <w:vMerge/>
          </w:tcPr>
          <w:p w14:paraId="74C648A0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D2818" w14:textId="6D7B6110"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14:paraId="727254EC" w14:textId="719F03FA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4058183B" w14:textId="77777777"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14:paraId="5E25F6BD" w14:textId="77777777" w:rsidTr="00860E5C">
        <w:trPr>
          <w:trHeight w:val="853"/>
        </w:trPr>
        <w:tc>
          <w:tcPr>
            <w:tcW w:w="2830" w:type="dxa"/>
            <w:vMerge w:val="restart"/>
          </w:tcPr>
          <w:p w14:paraId="52F0B883" w14:textId="77777777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Наличие особо</w:t>
            </w:r>
          </w:p>
          <w:p w14:paraId="6B0F4613" w14:textId="5357A6F5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неблагоприятных условий (в</w:t>
            </w:r>
            <w:r w:rsidR="00F7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сосудах,</w:t>
            </w:r>
            <w:r w:rsidR="00F7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аппаратах и других</w:t>
            </w:r>
          </w:p>
          <w:p w14:paraId="55CC558F" w14:textId="14D5B78C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металлических емкостях с</w:t>
            </w:r>
            <w:r w:rsidR="00D1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ограниченной возможностью</w:t>
            </w:r>
          </w:p>
          <w:p w14:paraId="1AFB3DFF" w14:textId="77777777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перемещения и выхода)</w:t>
            </w:r>
          </w:p>
          <w:p w14:paraId="36AEA0BF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99434" w14:textId="65069059"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</w:tc>
        <w:tc>
          <w:tcPr>
            <w:tcW w:w="5097" w:type="dxa"/>
          </w:tcPr>
          <w:p w14:paraId="164EB56F" w14:textId="2388E31D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 допускается применять ручной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инструмент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данного класса</w:t>
            </w:r>
          </w:p>
          <w:p w14:paraId="5B978068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14:paraId="7BC86E2F" w14:textId="77777777" w:rsidTr="00860E5C">
        <w:trPr>
          <w:trHeight w:val="1127"/>
        </w:trPr>
        <w:tc>
          <w:tcPr>
            <w:tcW w:w="2830" w:type="dxa"/>
            <w:vMerge/>
          </w:tcPr>
          <w:p w14:paraId="526AEE55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615C8" w14:textId="0BD1EC2D"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14:paraId="7C354FDC" w14:textId="4B685824"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</w:t>
            </w:r>
            <w:r w:rsidR="0012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7ABE90DD" w14:textId="77777777"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E0635" w14:textId="77777777" w:rsidR="00860E5C" w:rsidRDefault="00860E5C" w:rsidP="00AE1F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E1057" w14:textId="77777777" w:rsidR="00F92DD7" w:rsidRDefault="00860E5C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>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установки, а также внутренней установки, но к которым могут быть подключены переносные электроприемники,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отключающим дифференциальным током не более 30 мА. Допускается применение ручного электроинструмента, оборудованного УЗО-вилками.</w:t>
      </w:r>
    </w:p>
    <w:p w14:paraId="353A7F24" w14:textId="660A564A" w:rsid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 xml:space="preserve">Для присоединения переносных электроприемников к питающей сети следует применять штепсельные соединители, соответствующие </w:t>
      </w:r>
      <w:r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359D4355" w14:textId="1581C051" w:rsidR="00F92DD7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защитные проводники могут быть разъединены при помощи того же штепсельного соединителя, что и фазные проводники, то розетка и вилка штепсельного соединителя должны иметь специальные защитные контакты для присоединения к ним защитных проводников;</w:t>
      </w:r>
    </w:p>
    <w:p w14:paraId="2DBB9B2D" w14:textId="2F23E471" w:rsidR="00F92DD7" w:rsidRP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корпус штепсельной розетки выполнен из металла, он должен быть присоединен к защитному контакту этой розетки.</w:t>
      </w:r>
    </w:p>
    <w:p w14:paraId="202C48D2" w14:textId="123059EC" w:rsidR="00B77BB3" w:rsidRP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B3" w:rsidRPr="00B77BB3">
        <w:rPr>
          <w:rFonts w:ascii="Times New Roman" w:hAnsi="Times New Roman" w:cs="Times New Roman"/>
          <w:sz w:val="28"/>
          <w:szCs w:val="28"/>
        </w:rPr>
        <w:t>В штепсельных соединителях переносных электроприемников, удлинительных проводов и кабелей проводник со стороны источника питания должен быть присоединен к розетке, а со стороны электроприемника − к вилке.</w:t>
      </w:r>
    </w:p>
    <w:p w14:paraId="34285C04" w14:textId="77777777" w:rsidR="00B77BB3" w:rsidRPr="00B77BB3" w:rsidRDefault="00B77BB3" w:rsidP="00B77BB3">
      <w:pPr>
        <w:rPr>
          <w:rFonts w:ascii="Times New Roman" w:hAnsi="Times New Roman" w:cs="Times New Roman"/>
          <w:sz w:val="28"/>
          <w:szCs w:val="28"/>
        </w:rPr>
      </w:pPr>
    </w:p>
    <w:p w14:paraId="0920E065" w14:textId="77777777" w:rsidR="00361228" w:rsidRDefault="00AE60FB" w:rsidP="00AE60FB">
      <w:pPr>
        <w:pStyle w:val="1"/>
        <w:tabs>
          <w:tab w:val="left" w:pos="1034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Основные требования безопасности при работе с ручным электромеханическим инструментом</w:t>
      </w:r>
      <w:r w:rsidR="0036122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заключаются</w:t>
      </w:r>
      <w:r w:rsidR="00361228">
        <w:rPr>
          <w:color w:val="000000"/>
          <w:sz w:val="28"/>
          <w:szCs w:val="28"/>
          <w:lang w:eastAsia="ru-RU" w:bidi="ru-RU"/>
        </w:rPr>
        <w:t xml:space="preserve"> в следующем:</w:t>
      </w:r>
    </w:p>
    <w:p w14:paraId="4D002C0D" w14:textId="2FF3730F" w:rsidR="00AE60FB" w:rsidRPr="001E7A5D" w:rsidRDefault="00361228" w:rsidP="00361228">
      <w:pPr>
        <w:pStyle w:val="1"/>
        <w:numPr>
          <w:ilvl w:val="0"/>
          <w:numId w:val="9"/>
        </w:numPr>
        <w:tabs>
          <w:tab w:val="left" w:pos="1034"/>
        </w:tabs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AE60FB" w:rsidRPr="001E7A5D">
        <w:rPr>
          <w:color w:val="000000"/>
          <w:sz w:val="28"/>
          <w:szCs w:val="28"/>
          <w:lang w:eastAsia="ru-RU" w:bidi="ru-RU"/>
        </w:rPr>
        <w:t>еред началом работ с электроинструментом</w:t>
      </w:r>
      <w:bookmarkStart w:id="2" w:name="_GoBack"/>
      <w:bookmarkEnd w:id="2"/>
      <w:r w:rsidR="00AE60FB" w:rsidRPr="001E7A5D">
        <w:rPr>
          <w:color w:val="000000"/>
          <w:sz w:val="28"/>
          <w:szCs w:val="28"/>
          <w:lang w:eastAsia="ru-RU" w:bidi="ru-RU"/>
        </w:rPr>
        <w:t xml:space="preserve"> работающему следует внешним осмотром убедиться в том, что:</w:t>
      </w:r>
    </w:p>
    <w:p w14:paraId="1AA6C2DF" w14:textId="77777777" w:rsidR="00AE60FB" w:rsidRPr="001E7A5D" w:rsidRDefault="00AE60FB" w:rsidP="001C6A04">
      <w:pPr>
        <w:pStyle w:val="1"/>
        <w:ind w:firstLine="0"/>
        <w:jc w:val="both"/>
        <w:rPr>
          <w:sz w:val="28"/>
          <w:szCs w:val="28"/>
        </w:rPr>
      </w:pPr>
      <w:r w:rsidRPr="001E7A5D">
        <w:rPr>
          <w:color w:val="000000"/>
          <w:sz w:val="28"/>
          <w:szCs w:val="28"/>
          <w:lang w:eastAsia="ru-RU" w:bidi="ru-RU"/>
        </w:rPr>
        <w:t>- кабель (провод) и штепсельная вилка находятся в исправном состоянии, изоляционные детали корпуса, рукоятки и крышки щеткодержателей, защитных кожухов целостные;</w:t>
      </w:r>
    </w:p>
    <w:p w14:paraId="1B62E640" w14:textId="441BF22D" w:rsidR="00AE60FB" w:rsidRPr="00361228" w:rsidRDefault="00AE60FB" w:rsidP="001C6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корпус электроинструмента не имеет трещин и других повреждений</w:t>
      </w:r>
      <w:r w:rsidR="0036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F700C37" w14:textId="00F17638"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комплектность и надежность крепления деталей, отсутствие на них трещин, выбоин, заусенцев и прочих дефектов, исправность и надежность крепления рабочей части электроинструмента, исправность защитных ограждений и блокировок;</w:t>
      </w:r>
    </w:p>
    <w:p w14:paraId="6891856D" w14:textId="2051FB30" w:rsidR="00AE60FB" w:rsidRPr="001E7A5D" w:rsidRDefault="00B0196A" w:rsidP="001C6A0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исправность редуктора (проверяется проворачиванием шпинделя инструмента при отключенном электродвигателе);</w:t>
      </w:r>
    </w:p>
    <w:p w14:paraId="31B89292" w14:textId="11FA1DA8"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четкость работы выключателя;</w:t>
      </w:r>
    </w:p>
    <w:p w14:paraId="339BC196" w14:textId="7EE99206" w:rsidR="00245D02" w:rsidRDefault="00B0196A" w:rsidP="001C6A04">
      <w:pPr>
        <w:widowControl w:val="0"/>
        <w:tabs>
          <w:tab w:val="left" w:pos="864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работу электроинструмента на холостом ходу, правильность направления вращения режущего инструмента, отсутствие повышенного шума, стука, вибрации.</w:t>
      </w:r>
    </w:p>
    <w:p w14:paraId="291D4758" w14:textId="0A27CACD" w:rsidR="007D01B9" w:rsidRPr="00245D02" w:rsidRDefault="007D01B9" w:rsidP="00A679AC">
      <w:pPr>
        <w:pStyle w:val="a4"/>
        <w:widowControl w:val="0"/>
        <w:numPr>
          <w:ilvl w:val="1"/>
          <w:numId w:val="8"/>
        </w:numPr>
        <w:tabs>
          <w:tab w:val="left" w:pos="864"/>
        </w:tabs>
        <w:spacing w:after="3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5D02">
        <w:rPr>
          <w:rFonts w:ascii="Times New Roman" w:hAnsi="Times New Roman" w:cs="Times New Roman"/>
          <w:sz w:val="28"/>
          <w:szCs w:val="28"/>
        </w:rPr>
        <w:t>при производстве работ необходимо:</w:t>
      </w:r>
    </w:p>
    <w:p w14:paraId="6346D614" w14:textId="42825A4F" w:rsidR="007D01B9" w:rsidRPr="007D01B9" w:rsidRDefault="00245D02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1B9" w:rsidRPr="007D01B9">
        <w:rPr>
          <w:rFonts w:ascii="Times New Roman" w:hAnsi="Times New Roman" w:cs="Times New Roman"/>
          <w:sz w:val="28"/>
          <w:szCs w:val="28"/>
        </w:rPr>
        <w:t>не допускать натяжения и перекручивания кабеля (шнура), соприкосновение его с тросами, кабелями и рукавами для газовой сварки и резки металлов, металлическими, горячими, влажными и масляными поверхностями или предметами;</w:t>
      </w:r>
    </w:p>
    <w:p w14:paraId="2F8FB8AD" w14:textId="77777777"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перед включением электроинструмента убедиться, что обрабатываемая деталь (изделие) надежно закреплена;</w:t>
      </w:r>
    </w:p>
    <w:p w14:paraId="37AC7E8B" w14:textId="77777777"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включать электроинструмент только после установки его в рабочее положение;</w:t>
      </w:r>
    </w:p>
    <w:p w14:paraId="6F7F6F16" w14:textId="11C34D8F" w:rsid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бережно обращаться с электроинструментом, не подвергать его ударам, перегрузкам, воздействию грязи, влаги, нефтепродуктов, растворителей и т.п.</w:t>
      </w:r>
    </w:p>
    <w:p w14:paraId="580CD80A" w14:textId="77777777" w:rsidR="00A679AC" w:rsidRDefault="00A679AC" w:rsidP="00A6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6BF49" w14:textId="585D8681" w:rsidR="00A679AC" w:rsidRPr="00A679AC" w:rsidRDefault="00A679AC" w:rsidP="00B0196A">
      <w:pPr>
        <w:pStyle w:val="a4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679AC">
        <w:rPr>
          <w:rFonts w:ascii="Times New Roman" w:hAnsi="Times New Roman" w:cs="Times New Roman"/>
          <w:sz w:val="28"/>
          <w:szCs w:val="28"/>
        </w:rPr>
        <w:t>при работе с электроинструментом не допускается:</w:t>
      </w:r>
    </w:p>
    <w:p w14:paraId="6B453FCA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оставлять без надзора электроинструмент, присоединенный к электрической сети;</w:t>
      </w:r>
    </w:p>
    <w:p w14:paraId="5AAD145A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передавать электроинструмент лицам, не имеющим права пользоваться им;</w:t>
      </w:r>
    </w:p>
    <w:p w14:paraId="3CF2B728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превышать предельно допустимую продолжительность непрерывной работы, указанную в эксплуатационных документах организации - изготовителя электроинструмента;</w:t>
      </w:r>
    </w:p>
    <w:p w14:paraId="46695A0A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прикасаться к вращающимся частям электроинструмента;</w:t>
      </w:r>
    </w:p>
    <w:p w14:paraId="52B009AC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разбирать электроинструмент и самостоятельно производить какой-либо его ремонт;</w:t>
      </w:r>
    </w:p>
    <w:p w14:paraId="466FF5BC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переносить электроинструмент, держа его за кабель или рабочую часть (переносить можно только за рукоятку);</w:t>
      </w:r>
    </w:p>
    <w:p w14:paraId="5032F680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обрабатывать незакрепленную деталь, находящуюся на весу или свисающую с упора;</w:t>
      </w:r>
    </w:p>
    <w:p w14:paraId="4E277819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lastRenderedPageBreak/>
        <w:t>- тормозить вращающуюся рабочую часть электроинструмента нажимом на нее каким-либо предметом или руками;</w:t>
      </w:r>
    </w:p>
    <w:p w14:paraId="5B372AA0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стоять во время работы на обрабатываемом изделии;</w:t>
      </w:r>
    </w:p>
    <w:p w14:paraId="6E6B2A44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снимать защитные ограждения;</w:t>
      </w:r>
    </w:p>
    <w:p w14:paraId="2041735B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пользоваться неисправным электроинструментом;</w:t>
      </w:r>
    </w:p>
    <w:p w14:paraId="09F33F41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устанавливать рабочую часть электроинструмента и снимать её, а также регулировать электроинструмент без отключения его от электрической сети;</w:t>
      </w:r>
    </w:p>
    <w:p w14:paraId="53CE683E" w14:textId="77777777"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удалять стружку или опилки руками.</w:t>
      </w:r>
    </w:p>
    <w:p w14:paraId="0C832EF5" w14:textId="77777777" w:rsidR="00A679AC" w:rsidRPr="007D01B9" w:rsidRDefault="00A679AC" w:rsidP="00245D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0891852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75A14604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17D303F6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114508B9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78835D86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5E8786F2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090F80FC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081A59F8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19DA8391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731E8D93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4A7C7468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14822121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5B913543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7E37922B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64960691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52030F8B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4DBD90C0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1421E41C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611D33A6" w14:textId="77777777"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14:paraId="52A9582A" w14:textId="77777777" w:rsidR="003748E2" w:rsidRPr="003748E2" w:rsidRDefault="003748E2">
      <w:pPr>
        <w:rPr>
          <w:rFonts w:ascii="Times New Roman" w:hAnsi="Times New Roman" w:cs="Times New Roman"/>
          <w:sz w:val="28"/>
          <w:szCs w:val="28"/>
        </w:rPr>
      </w:pPr>
    </w:p>
    <w:sectPr w:rsidR="003748E2" w:rsidRPr="003748E2" w:rsidSect="00F013CF">
      <w:head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8438" w14:textId="77777777" w:rsidR="00F23EA3" w:rsidRDefault="00F23EA3" w:rsidP="00F013CF">
      <w:pPr>
        <w:spacing w:after="0" w:line="240" w:lineRule="auto"/>
      </w:pPr>
      <w:r>
        <w:separator/>
      </w:r>
    </w:p>
  </w:endnote>
  <w:endnote w:type="continuationSeparator" w:id="0">
    <w:p w14:paraId="18645790" w14:textId="77777777" w:rsidR="00F23EA3" w:rsidRDefault="00F23EA3" w:rsidP="00F0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BB17F" w14:textId="77777777" w:rsidR="00F23EA3" w:rsidRDefault="00F23EA3" w:rsidP="00F013CF">
      <w:pPr>
        <w:spacing w:after="0" w:line="240" w:lineRule="auto"/>
      </w:pPr>
      <w:r>
        <w:separator/>
      </w:r>
    </w:p>
  </w:footnote>
  <w:footnote w:type="continuationSeparator" w:id="0">
    <w:p w14:paraId="01E2345A" w14:textId="77777777" w:rsidR="00F23EA3" w:rsidRDefault="00F23EA3" w:rsidP="00F0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953985"/>
      <w:docPartObj>
        <w:docPartGallery w:val="Page Numbers (Top of Page)"/>
        <w:docPartUnique/>
      </w:docPartObj>
    </w:sdtPr>
    <w:sdtContent>
      <w:p w14:paraId="02F1F1C4" w14:textId="77AAF49D" w:rsidR="00F013CF" w:rsidRDefault="00F013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6CEFCE" w14:textId="77777777" w:rsidR="00F013CF" w:rsidRDefault="00F013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B0"/>
    <w:multiLevelType w:val="multilevel"/>
    <w:tmpl w:val="C89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3CF"/>
    <w:multiLevelType w:val="multilevel"/>
    <w:tmpl w:val="44EC6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4EB3"/>
    <w:multiLevelType w:val="hybridMultilevel"/>
    <w:tmpl w:val="4726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38AF"/>
    <w:multiLevelType w:val="multilevel"/>
    <w:tmpl w:val="A3E058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644DF"/>
    <w:multiLevelType w:val="multilevel"/>
    <w:tmpl w:val="CE7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F17A8"/>
    <w:multiLevelType w:val="multilevel"/>
    <w:tmpl w:val="951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908D3"/>
    <w:multiLevelType w:val="multilevel"/>
    <w:tmpl w:val="4BA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754C"/>
    <w:multiLevelType w:val="multilevel"/>
    <w:tmpl w:val="4D70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C069B"/>
    <w:multiLevelType w:val="hybridMultilevel"/>
    <w:tmpl w:val="3CA0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E2"/>
    <w:rsid w:val="00025C69"/>
    <w:rsid w:val="0003559B"/>
    <w:rsid w:val="000A4C05"/>
    <w:rsid w:val="000B288D"/>
    <w:rsid w:val="000E0617"/>
    <w:rsid w:val="000E5F9E"/>
    <w:rsid w:val="000F5385"/>
    <w:rsid w:val="00112AF9"/>
    <w:rsid w:val="0011644A"/>
    <w:rsid w:val="00123D42"/>
    <w:rsid w:val="00150F65"/>
    <w:rsid w:val="001C471F"/>
    <w:rsid w:val="001C501A"/>
    <w:rsid w:val="001C6A04"/>
    <w:rsid w:val="00245D02"/>
    <w:rsid w:val="0026393E"/>
    <w:rsid w:val="00282FE4"/>
    <w:rsid w:val="00287C20"/>
    <w:rsid w:val="002B2D6D"/>
    <w:rsid w:val="00337CCB"/>
    <w:rsid w:val="00346B23"/>
    <w:rsid w:val="00347A0C"/>
    <w:rsid w:val="00361228"/>
    <w:rsid w:val="003748E2"/>
    <w:rsid w:val="003D506C"/>
    <w:rsid w:val="00431B3D"/>
    <w:rsid w:val="00447252"/>
    <w:rsid w:val="00463035"/>
    <w:rsid w:val="0046583B"/>
    <w:rsid w:val="00466D84"/>
    <w:rsid w:val="004E2277"/>
    <w:rsid w:val="004E714C"/>
    <w:rsid w:val="00571A01"/>
    <w:rsid w:val="005E6446"/>
    <w:rsid w:val="006E4E89"/>
    <w:rsid w:val="006F67BA"/>
    <w:rsid w:val="00753765"/>
    <w:rsid w:val="00763C7A"/>
    <w:rsid w:val="007860F0"/>
    <w:rsid w:val="007876CF"/>
    <w:rsid w:val="007B6A96"/>
    <w:rsid w:val="007D01B9"/>
    <w:rsid w:val="00860E5C"/>
    <w:rsid w:val="008C7459"/>
    <w:rsid w:val="008F5A66"/>
    <w:rsid w:val="008F685E"/>
    <w:rsid w:val="00953D03"/>
    <w:rsid w:val="00984ED1"/>
    <w:rsid w:val="009F06FA"/>
    <w:rsid w:val="009F44FA"/>
    <w:rsid w:val="00A53429"/>
    <w:rsid w:val="00A62AAE"/>
    <w:rsid w:val="00A679AC"/>
    <w:rsid w:val="00A77F18"/>
    <w:rsid w:val="00AC2911"/>
    <w:rsid w:val="00AE1FD3"/>
    <w:rsid w:val="00AE60FB"/>
    <w:rsid w:val="00B0196A"/>
    <w:rsid w:val="00B77BB3"/>
    <w:rsid w:val="00B81654"/>
    <w:rsid w:val="00BA49FD"/>
    <w:rsid w:val="00BF5CE1"/>
    <w:rsid w:val="00BF7306"/>
    <w:rsid w:val="00C42280"/>
    <w:rsid w:val="00CC4A89"/>
    <w:rsid w:val="00CD72A1"/>
    <w:rsid w:val="00D163B0"/>
    <w:rsid w:val="00D25C5F"/>
    <w:rsid w:val="00D44A9D"/>
    <w:rsid w:val="00D66310"/>
    <w:rsid w:val="00D80FFD"/>
    <w:rsid w:val="00DA0EA7"/>
    <w:rsid w:val="00E21FE0"/>
    <w:rsid w:val="00E5247C"/>
    <w:rsid w:val="00E56257"/>
    <w:rsid w:val="00E619CD"/>
    <w:rsid w:val="00E81213"/>
    <w:rsid w:val="00E83FE1"/>
    <w:rsid w:val="00E9751A"/>
    <w:rsid w:val="00EE04B2"/>
    <w:rsid w:val="00F013CF"/>
    <w:rsid w:val="00F22331"/>
    <w:rsid w:val="00F23EA3"/>
    <w:rsid w:val="00F73404"/>
    <w:rsid w:val="00F853A0"/>
    <w:rsid w:val="00F92DD7"/>
    <w:rsid w:val="00FA7F8F"/>
    <w:rsid w:val="00FB3622"/>
    <w:rsid w:val="00FE4C32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Фурс Андрей Иванович</cp:lastModifiedBy>
  <cp:revision>3</cp:revision>
  <dcterms:created xsi:type="dcterms:W3CDTF">2024-01-09T11:12:00Z</dcterms:created>
  <dcterms:modified xsi:type="dcterms:W3CDTF">2024-02-28T12:17:00Z</dcterms:modified>
</cp:coreProperties>
</file>