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УДК 574</w:t>
      </w:r>
    </w:p>
    <w:p w14:paraId="02000000">
      <w:pPr>
        <w:spacing w:after="0" w:line="240" w:lineRule="auto"/>
        <w:ind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УРОВЕНЬ НИТРАТОВ В ВОДЕ КОЛОДЦЕВ ГОРОДА ЕЛЬСКА В </w:t>
      </w:r>
      <w:r>
        <w:rPr>
          <w:rFonts w:ascii="Times New Roman" w:hAnsi="Times New Roman"/>
          <w:b w:val="1"/>
          <w:caps w:val="1"/>
        </w:rPr>
        <w:t>осенний</w:t>
      </w:r>
      <w:r>
        <w:rPr>
          <w:rFonts w:ascii="Times New Roman" w:hAnsi="Times New Roman"/>
          <w:b w:val="1"/>
        </w:rPr>
        <w:t xml:space="preserve"> ПЕРИОД</w:t>
      </w:r>
    </w:p>
    <w:p w14:paraId="03000000">
      <w:pPr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</w:rPr>
      </w:pPr>
    </w:p>
    <w:p w14:paraId="04000000">
      <w:pPr>
        <w:spacing w:line="240" w:lineRule="auto"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Каленчук</w:t>
      </w:r>
      <w:r>
        <w:rPr>
          <w:rFonts w:ascii="Times New Roman" w:hAnsi="Times New Roman"/>
        </w:rPr>
        <w:t xml:space="preserve"> Егор Викторович, учитель биологии и химии</w:t>
      </w:r>
    </w:p>
    <w:p w14:paraId="05000000">
      <w:pPr>
        <w:spacing w:after="0" w:line="240" w:lineRule="auto"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Государственное учреждение </w:t>
      </w:r>
      <w:r>
        <w:rPr>
          <w:rFonts w:ascii="Times New Roman" w:hAnsi="Times New Roman"/>
        </w:rPr>
        <w:t>образоваия</w:t>
      </w:r>
      <w:r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Ремезовский</w:t>
      </w:r>
      <w:r>
        <w:rPr>
          <w:rFonts w:ascii="Times New Roman" w:hAnsi="Times New Roman"/>
        </w:rPr>
        <w:t xml:space="preserve"> ясли-сад-средняя школа </w:t>
      </w:r>
    </w:p>
    <w:p w14:paraId="06000000">
      <w:pPr>
        <w:spacing w:after="0" w:line="240" w:lineRule="auto"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Ельского</w:t>
      </w:r>
      <w:r>
        <w:rPr>
          <w:rFonts w:ascii="Times New Roman" w:hAnsi="Times New Roman"/>
        </w:rPr>
        <w:t xml:space="preserve"> района», </w:t>
      </w:r>
      <w:r>
        <w:rPr>
          <w:rFonts w:ascii="Times New Roman" w:hAnsi="Times New Roman"/>
        </w:rPr>
        <w:t>г</w:t>
      </w:r>
      <w:r>
        <w:rPr>
          <w:rFonts w:ascii="Times New Roman" w:hAnsi="Times New Roman"/>
        </w:rPr>
        <w:t>.Е</w:t>
      </w:r>
      <w:r>
        <w:rPr>
          <w:rFonts w:ascii="Times New Roman" w:hAnsi="Times New Roman"/>
        </w:rPr>
        <w:t>льск</w:t>
      </w:r>
      <w:r>
        <w:rPr>
          <w:rFonts w:ascii="Times New Roman" w:hAnsi="Times New Roman"/>
        </w:rPr>
        <w:t>, Республика Беларусь</w:t>
      </w:r>
      <w:bookmarkStart w:id="1" w:name="_GoBack"/>
      <w:bookmarkEnd w:id="1"/>
    </w:p>
    <w:p w14:paraId="07000000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p w14:paraId="08000000">
      <w:pPr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Основным </w:t>
      </w:r>
      <w:r>
        <w:rPr>
          <w:rFonts w:ascii="Times New Roman" w:hAnsi="Times New Roman"/>
        </w:rPr>
        <w:t>источником питьевого водоснабжения в нашей республике являются подземные воды. Величина прогнозных эксплуатационных запасов подземных вод Беларуси составляет 49,6 млн. м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</w:rPr>
        <w:t>сут</w:t>
      </w:r>
      <w:r>
        <w:rPr>
          <w:rFonts w:ascii="Times New Roman" w:hAnsi="Times New Roman"/>
        </w:rPr>
        <w:t>. Выявлено  несколько сотен источников загрязнения, существенно влияющие на качест</w:t>
      </w:r>
      <w:r>
        <w:rPr>
          <w:rFonts w:ascii="Times New Roman" w:hAnsi="Times New Roman"/>
        </w:rPr>
        <w:t>во водных ресурсов [1]. Загрязнение подземных водоносных комплексов, которые залегают на разных глубинах, разнится в значительных пределах. Особенно велики масштабы загрязнения грунтовых вод, которые эксплуатируются с помощью колодцев в частном секторе. По</w:t>
      </w:r>
      <w:r>
        <w:rPr>
          <w:rFonts w:ascii="Times New Roman" w:hAnsi="Times New Roman"/>
        </w:rPr>
        <w:t xml:space="preserve"> данным проведенного опробования, в 1029 колодцах Беларуси, среднее содержание нитратов составило 150,9 мг/дм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 (3,3 предельно допустимая концентрация, далее - ПДК), а в отдельных случаях величины концентрации составляли 1000 и 2492 мг/дм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, соответственно п</w:t>
      </w:r>
      <w:r>
        <w:rPr>
          <w:rFonts w:ascii="Times New Roman" w:hAnsi="Times New Roman"/>
        </w:rPr>
        <w:t xml:space="preserve">римерно в 20 и 50 раз превышая нормы ПДК. В связи с этим для нашей республики остается одной из главных экологических проблем – качество питьевой воды, которая напрямую связана с состоянием здоровья населения, экологической чистотой продуктов питания [2]. </w:t>
      </w:r>
      <w:r>
        <w:rPr>
          <w:rFonts w:ascii="Times New Roman" w:hAnsi="Times New Roman"/>
        </w:rPr>
        <w:t>В связи с этим актуальным является постоянное исследование употребляемой человеком воды, особенно нецентрализованного водоснабжения.</w:t>
      </w:r>
    </w:p>
    <w:p w14:paraId="09000000">
      <w:pPr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Цель работы – определить уровень нитратов в воде колодцев города Ельска в осенний период.</w:t>
      </w:r>
    </w:p>
    <w:p w14:paraId="0A000000">
      <w:pPr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Исследования по определению колич</w:t>
      </w:r>
      <w:r>
        <w:rPr>
          <w:rFonts w:ascii="Times New Roman" w:hAnsi="Times New Roman"/>
        </w:rPr>
        <w:t>ества нитратов  колодезной воды проводились в осенний период на разных улицах города Ельска: Д. В. </w:t>
      </w:r>
      <w:r>
        <w:rPr>
          <w:rFonts w:ascii="Times New Roman" w:hAnsi="Times New Roman"/>
        </w:rPr>
        <w:t>Бернадского</w:t>
      </w:r>
      <w:r>
        <w:rPr>
          <w:rFonts w:ascii="Times New Roman" w:hAnsi="Times New Roman"/>
        </w:rPr>
        <w:t xml:space="preserve">, А. С. Пушкина, Янки Купалы, И. Г. Матюшенко, Луговая и </w:t>
      </w:r>
      <w:r>
        <w:rPr>
          <w:rFonts w:ascii="Times New Roman" w:hAnsi="Times New Roman"/>
        </w:rPr>
        <w:t>Лениградская</w:t>
      </w:r>
      <w:r>
        <w:rPr>
          <w:rFonts w:ascii="Times New Roman" w:hAnsi="Times New Roman"/>
        </w:rPr>
        <w:t xml:space="preserve">. Исследования проводились при помощи портативных </w:t>
      </w:r>
      <w:r>
        <w:rPr>
          <w:rFonts w:ascii="Times New Roman" w:hAnsi="Times New Roman"/>
        </w:rPr>
        <w:t>тест-полосок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MQuant</w:t>
      </w:r>
      <w:r>
        <w:rPr>
          <w:rFonts w:ascii="Times New Roman" w:hAnsi="Times New Roman"/>
        </w:rPr>
        <w:t xml:space="preserve"> по опре</w:t>
      </w:r>
      <w:r>
        <w:rPr>
          <w:rFonts w:ascii="Times New Roman" w:hAnsi="Times New Roman"/>
        </w:rPr>
        <w:t xml:space="preserve">делению уровня нитратов в питьевой воде. Нормативные показатели качества воды приведены </w:t>
      </w:r>
      <w:r>
        <w:rPr>
          <w:rFonts w:ascii="Times New Roman" w:hAnsi="Times New Roman"/>
        </w:rPr>
        <w:t>согласно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4"/>
        </w:rPr>
        <w:t>Санитарных норм, правил и гигиенических нормативов «Гигиенические</w:t>
      </w:r>
      <w:r>
        <w:rPr>
          <w:rFonts w:ascii="Times New Roman" w:hAnsi="Times New Roman"/>
        </w:rPr>
        <w:t xml:space="preserve"> требования к источникам нецентрализованного питьевого водоснабжения населения» [3]. </w:t>
      </w:r>
    </w:p>
    <w:p w14:paraId="0B000000">
      <w:pPr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Результа</w:t>
      </w:r>
      <w:r>
        <w:rPr>
          <w:rFonts w:ascii="Times New Roman" w:hAnsi="Times New Roman"/>
        </w:rPr>
        <w:t>ты исследований.</w:t>
      </w:r>
      <w:r>
        <w:rPr>
          <w:rFonts w:ascii="Times New Roman" w:hAnsi="Times New Roman"/>
          <w:b w:val="1"/>
        </w:rPr>
        <w:t xml:space="preserve"> </w:t>
      </w:r>
      <w:r>
        <w:rPr>
          <w:rFonts w:ascii="Times New Roman" w:hAnsi="Times New Roman"/>
        </w:rPr>
        <w:t>Согласно современным научным данным, нитраты в кишечнике человека под влиянием обитающих там бактерий восстанавливаются в нитриты. Всасывание нитратов ведет к образованию метгемоглобина и к частичной потере активности гемоглобина в перенос</w:t>
      </w:r>
      <w:r>
        <w:rPr>
          <w:rFonts w:ascii="Times New Roman" w:hAnsi="Times New Roman"/>
        </w:rPr>
        <w:t>е кислорода. Содержание нитратов в питьевой воде до 45 мг/дм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 является безвредным. При анализе показателей содержания нитратов в питьевой воде было установлено, что не все пробы соответствовали требованиям к качеству воды </w:t>
      </w:r>
      <w:r>
        <w:rPr>
          <w:rFonts w:ascii="Times New Roman" w:hAnsi="Times New Roman"/>
          <w:spacing w:val="4"/>
        </w:rPr>
        <w:t>(таблица 1)</w:t>
      </w:r>
      <w:r>
        <w:rPr>
          <w:rFonts w:ascii="Times New Roman" w:hAnsi="Times New Roman"/>
        </w:rPr>
        <w:t>. Минимальный уровень н</w:t>
      </w:r>
      <w:r>
        <w:rPr>
          <w:rFonts w:ascii="Times New Roman" w:hAnsi="Times New Roman"/>
        </w:rPr>
        <w:t xml:space="preserve">итратов отмечен в колодцах на улицах А. С. Пушкина и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. Г. Матюшенко (не зафиксировано их наличие), а максимальный – на улицах Янки Купалы  и Ленинградская – (до 100 мг/дм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). Превышение санитарного норматива по нитратам в воде колодцев по улицам Янки Купал</w:t>
      </w:r>
      <w:r>
        <w:rPr>
          <w:rFonts w:ascii="Times New Roman" w:hAnsi="Times New Roman"/>
        </w:rPr>
        <w:t>ы и Ленинградской составило 2,2 раза.</w:t>
      </w:r>
    </w:p>
    <w:p w14:paraId="0C000000">
      <w:pPr>
        <w:spacing w:after="0" w:line="240" w:lineRule="auto"/>
        <w:ind w:firstLine="709"/>
        <w:jc w:val="both"/>
        <w:rPr>
          <w:rFonts w:ascii="Times New Roman" w:hAnsi="Times New Roman"/>
          <w:b w:val="1"/>
        </w:rPr>
      </w:pPr>
    </w:p>
    <w:p w14:paraId="0D000000">
      <w:pPr>
        <w:pStyle w:val="Style_1"/>
        <w:spacing w:after="0"/>
        <w:ind w:firstLine="0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Таблица 1. – Уровень нитратов в колодезной воде города Ельска в весенний период</w:t>
      </w:r>
    </w:p>
    <w:p w14:paraId="0E000000">
      <w:pPr>
        <w:pStyle w:val="Style_1"/>
        <w:spacing w:after="0"/>
        <w:ind w:firstLine="0" w:left="0"/>
        <w:jc w:val="center"/>
        <w:rPr>
          <w:rFonts w:ascii="Times New Roman" w:hAnsi="Times New Roman"/>
          <w:spacing w:val="4"/>
        </w:rPr>
      </w:pPr>
    </w:p>
    <w:tbl>
      <w:tblPr>
        <w:tblStyle w:val="Style_2"/>
        <w:tblInd w:type="dxa" w:w="250"/>
        <w:tblLayout w:type="fixed"/>
      </w:tblPr>
      <w:tblGrid>
        <w:gridCol w:w="709"/>
        <w:gridCol w:w="4286"/>
        <w:gridCol w:w="4003"/>
      </w:tblGrid>
      <w:tr>
        <w:tc>
          <w:tcPr>
            <w:tcW w:type="dxa" w:w="709"/>
          </w:tcPr>
          <w:p w14:paraId="0F000000">
            <w:pPr>
              <w:tabs>
                <w:tab w:leader="none" w:pos="315" w:val="left"/>
              </w:tabs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type="dxa" w:w="4286"/>
          </w:tcPr>
          <w:p w14:paraId="10000000">
            <w:pPr>
              <w:tabs>
                <w:tab w:leader="none" w:pos="315" w:val="left"/>
              </w:tabs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улиц г. Ельска</w:t>
            </w:r>
          </w:p>
        </w:tc>
        <w:tc>
          <w:tcPr>
            <w:tcW w:type="dxa" w:w="4003"/>
          </w:tcPr>
          <w:p w14:paraId="11000000">
            <w:pPr>
              <w:tabs>
                <w:tab w:leader="none" w:pos="315" w:val="left"/>
              </w:tabs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22222"/>
                <w:highlight w:val="white"/>
              </w:rPr>
              <w:t xml:space="preserve">Уровень нитратов, </w:t>
            </w:r>
            <w:r>
              <w:rPr>
                <w:rFonts w:ascii="Times New Roman" w:hAnsi="Times New Roman"/>
              </w:rPr>
              <w:t>мг/дм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</w:tr>
      <w:tr>
        <w:tc>
          <w:tcPr>
            <w:tcW w:type="dxa" w:w="709"/>
          </w:tcPr>
          <w:p w14:paraId="12000000">
            <w:pPr>
              <w:tabs>
                <w:tab w:leader="none" w:pos="315" w:val="left"/>
              </w:tabs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4286"/>
          </w:tcPr>
          <w:p w14:paraId="13000000">
            <w:pPr>
              <w:tabs>
                <w:tab w:leader="none" w:pos="315" w:val="left"/>
              </w:tabs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 В. </w:t>
            </w:r>
            <w:r>
              <w:rPr>
                <w:rFonts w:ascii="Times New Roman" w:hAnsi="Times New Roman"/>
              </w:rPr>
              <w:t>Бернацкого</w:t>
            </w:r>
          </w:p>
        </w:tc>
        <w:tc>
          <w:tcPr>
            <w:tcW w:type="dxa" w:w="4003"/>
          </w:tcPr>
          <w:p w14:paraId="14000000">
            <w:pPr>
              <w:tabs>
                <w:tab w:leader="none" w:pos="315" w:val="left"/>
              </w:tabs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10</w:t>
            </w:r>
          </w:p>
        </w:tc>
      </w:tr>
      <w:tr>
        <w:tc>
          <w:tcPr>
            <w:tcW w:type="dxa" w:w="709"/>
          </w:tcPr>
          <w:p w14:paraId="15000000">
            <w:pPr>
              <w:tabs>
                <w:tab w:leader="none" w:pos="315" w:val="left"/>
              </w:tabs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4286"/>
          </w:tcPr>
          <w:p w14:paraId="16000000">
            <w:pPr>
              <w:tabs>
                <w:tab w:leader="none" w:pos="315" w:val="left"/>
              </w:tabs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 С. Пушкина</w:t>
            </w:r>
          </w:p>
        </w:tc>
        <w:tc>
          <w:tcPr>
            <w:tcW w:type="dxa" w:w="4003"/>
          </w:tcPr>
          <w:p w14:paraId="17000000">
            <w:pPr>
              <w:tabs>
                <w:tab w:leader="none" w:pos="315" w:val="left"/>
              </w:tabs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обнаружено</w:t>
            </w:r>
          </w:p>
        </w:tc>
      </w:tr>
      <w:tr>
        <w:tc>
          <w:tcPr>
            <w:tcW w:type="dxa" w:w="709"/>
          </w:tcPr>
          <w:p w14:paraId="18000000">
            <w:pPr>
              <w:tabs>
                <w:tab w:leader="none" w:pos="315" w:val="left"/>
              </w:tabs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type="dxa" w:w="4286"/>
          </w:tcPr>
          <w:p w14:paraId="19000000">
            <w:pPr>
              <w:tabs>
                <w:tab w:leader="none" w:pos="315" w:val="left"/>
              </w:tabs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Янки Купалы</w:t>
            </w:r>
          </w:p>
        </w:tc>
        <w:tc>
          <w:tcPr>
            <w:tcW w:type="dxa" w:w="4003"/>
          </w:tcPr>
          <w:p w14:paraId="1A000000">
            <w:pPr>
              <w:tabs>
                <w:tab w:leader="none" w:pos="315" w:val="left"/>
              </w:tabs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100</w:t>
            </w:r>
          </w:p>
        </w:tc>
      </w:tr>
      <w:tr>
        <w:tc>
          <w:tcPr>
            <w:tcW w:type="dxa" w:w="709"/>
          </w:tcPr>
          <w:p w14:paraId="1B000000">
            <w:pPr>
              <w:tabs>
                <w:tab w:leader="none" w:pos="315" w:val="left"/>
              </w:tabs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type="dxa" w:w="4286"/>
          </w:tcPr>
          <w:p w14:paraId="1C000000">
            <w:pPr>
              <w:tabs>
                <w:tab w:leader="none" w:pos="315" w:val="left"/>
              </w:tabs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 Г. Матюшенко</w:t>
            </w:r>
          </w:p>
        </w:tc>
        <w:tc>
          <w:tcPr>
            <w:tcW w:type="dxa" w:w="4003"/>
          </w:tcPr>
          <w:p w14:paraId="1D000000">
            <w:pPr>
              <w:tabs>
                <w:tab w:leader="none" w:pos="315" w:val="left"/>
              </w:tabs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обнаружено</w:t>
            </w:r>
          </w:p>
        </w:tc>
      </w:tr>
      <w:tr>
        <w:tc>
          <w:tcPr>
            <w:tcW w:type="dxa" w:w="709"/>
          </w:tcPr>
          <w:p w14:paraId="1E000000">
            <w:pPr>
              <w:tabs>
                <w:tab w:leader="none" w:pos="315" w:val="left"/>
              </w:tabs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type="dxa" w:w="4286"/>
          </w:tcPr>
          <w:p w14:paraId="1F000000">
            <w:pPr>
              <w:tabs>
                <w:tab w:leader="none" w:pos="315" w:val="left"/>
              </w:tabs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Луговая</w:t>
            </w:r>
          </w:p>
        </w:tc>
        <w:tc>
          <w:tcPr>
            <w:tcW w:type="dxa" w:w="4003"/>
          </w:tcPr>
          <w:p w14:paraId="20000000">
            <w:pPr>
              <w:tabs>
                <w:tab w:leader="none" w:pos="315" w:val="left"/>
              </w:tabs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10</w:t>
            </w:r>
          </w:p>
        </w:tc>
      </w:tr>
      <w:tr>
        <w:tc>
          <w:tcPr>
            <w:tcW w:type="dxa" w:w="709"/>
          </w:tcPr>
          <w:p w14:paraId="21000000">
            <w:pPr>
              <w:tabs>
                <w:tab w:leader="none" w:pos="315" w:val="left"/>
              </w:tabs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type="dxa" w:w="4286"/>
          </w:tcPr>
          <w:p w14:paraId="22000000">
            <w:pPr>
              <w:tabs>
                <w:tab w:leader="none" w:pos="315" w:val="left"/>
              </w:tabs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Ленинградская</w:t>
            </w:r>
          </w:p>
        </w:tc>
        <w:tc>
          <w:tcPr>
            <w:tcW w:type="dxa" w:w="4003"/>
          </w:tcPr>
          <w:p w14:paraId="23000000">
            <w:pPr>
              <w:tabs>
                <w:tab w:leader="none" w:pos="315" w:val="left"/>
              </w:tabs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100</w:t>
            </w:r>
          </w:p>
        </w:tc>
      </w:tr>
    </w:tbl>
    <w:p w14:paraId="24000000">
      <w:pPr>
        <w:tabs>
          <w:tab w:leader="none" w:pos="315" w:val="lef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25000000">
      <w:pPr>
        <w:tabs>
          <w:tab w:leader="none" w:pos="315" w:val="left"/>
        </w:tabs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выяснении причин данного превышения установлено, что в 8 метрах от колодца по улице Янки Купалы находится канализационная система соседского дома. </w:t>
      </w:r>
      <w:r>
        <w:rPr>
          <w:rFonts w:ascii="Times New Roman" w:hAnsi="Times New Roman"/>
        </w:rPr>
        <w:t>Что касается колодца на улице Ленинградская, то  хозяйственные постройки и уборная расположены на удалении 9 метров от него.</w:t>
      </w:r>
      <w:r>
        <w:rPr>
          <w:rFonts w:ascii="Times New Roman" w:hAnsi="Times New Roman"/>
        </w:rPr>
        <w:t xml:space="preserve"> Такое близкое расположение хозяйственных построек и канализационной системы и обуславливает столь высокие значения уровня нитратов </w:t>
      </w:r>
      <w:r>
        <w:rPr>
          <w:rFonts w:ascii="Times New Roman" w:hAnsi="Times New Roman"/>
        </w:rPr>
        <w:t xml:space="preserve">в колодезной воде.  </w:t>
      </w:r>
    </w:p>
    <w:p w14:paraId="26000000">
      <w:pPr>
        <w:tabs>
          <w:tab w:leader="none" w:pos="315" w:val="left"/>
        </w:tabs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Таким образом, можно отметить, что не все пробы воды из колодцев, расположенных в городе Ельске в осенний период соответствовали санитарно-гигиеническим требованиям к качеству воды источников нецентрализованного питьевого водоснабжения</w:t>
      </w:r>
      <w:r>
        <w:rPr>
          <w:rFonts w:ascii="Times New Roman" w:hAnsi="Times New Roman"/>
        </w:rPr>
        <w:t xml:space="preserve"> населения. Двукратное превышение санитарного норматива наблюдалось в воде колодцев по улицам Янки Купалы и Ленинградской.</w:t>
      </w:r>
    </w:p>
    <w:p w14:paraId="27000000">
      <w:pPr>
        <w:tabs>
          <w:tab w:leader="none" w:pos="315" w:val="left"/>
        </w:tabs>
        <w:spacing w:after="0" w:line="240" w:lineRule="auto"/>
        <w:ind w:firstLine="284"/>
        <w:jc w:val="both"/>
        <w:rPr>
          <w:rFonts w:ascii="Times New Roman" w:hAnsi="Times New Roman"/>
          <w:highlight w:val="yellow"/>
        </w:rPr>
      </w:pPr>
    </w:p>
    <w:p w14:paraId="28000000">
      <w:pPr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Библиографический список</w:t>
      </w:r>
    </w:p>
    <w:p w14:paraId="29000000">
      <w:pPr>
        <w:spacing w:after="0" w:line="240" w:lineRule="auto"/>
        <w:ind/>
        <w:jc w:val="center"/>
        <w:rPr>
          <w:rFonts w:ascii="Times New Roman" w:hAnsi="Times New Roman"/>
        </w:rPr>
      </w:pPr>
    </w:p>
    <w:p w14:paraId="2A000000">
      <w:pPr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 w:hAnsi="Times New Roman"/>
          <w:spacing w:val="-7"/>
        </w:rPr>
        <w:t>Лебедев, В. М. Как получить хорошую питьевую воду / В. М. Лебедев // Вестник. – 2003. – № 12. – С. 7–9.</w:t>
      </w:r>
    </w:p>
    <w:p w14:paraId="2B000000">
      <w:pPr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  <w:spacing w:val="-7"/>
        </w:rPr>
        <w:t>Позин</w:t>
      </w:r>
      <w:r>
        <w:rPr>
          <w:rFonts w:ascii="Times New Roman" w:hAnsi="Times New Roman"/>
          <w:spacing w:val="-7"/>
        </w:rPr>
        <w:t xml:space="preserve">, С.Г. </w:t>
      </w:r>
      <w:r>
        <w:rPr>
          <w:rFonts w:ascii="Times New Roman" w:hAnsi="Times New Roman"/>
          <w:highlight w:val="white"/>
        </w:rPr>
        <w:t xml:space="preserve">О некоторых итогах научно-практических исследований по обеспечению безопасности воды в хозяйственно-питьевых водопроводах / С. Г. </w:t>
      </w:r>
      <w:r>
        <w:rPr>
          <w:rFonts w:ascii="Times New Roman" w:hAnsi="Times New Roman"/>
          <w:highlight w:val="white"/>
        </w:rPr>
        <w:t>Позин</w:t>
      </w:r>
      <w:r>
        <w:rPr>
          <w:rStyle w:val="Style_3_ch"/>
          <w:rFonts w:ascii="Times New Roman" w:hAnsi="Times New Roman"/>
          <w:highlight w:val="white"/>
        </w:rPr>
        <w:t> </w:t>
      </w:r>
      <w:r>
        <w:rPr>
          <w:rFonts w:ascii="Times New Roman" w:hAnsi="Times New Roman"/>
          <w:highlight w:val="white"/>
        </w:rPr>
        <w:t xml:space="preserve">// Медицинский журнал: научно-практический рецензируемый журнал.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highlight w:val="white"/>
        </w:rPr>
        <w:t xml:space="preserve"> 2008.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  <w:highlight w:val="white"/>
        </w:rPr>
        <w:t xml:space="preserve">№ 4.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highlight w:val="white"/>
        </w:rPr>
        <w:t xml:space="preserve"> С. 48-52.</w:t>
      </w:r>
    </w:p>
    <w:p w14:paraId="2C000000">
      <w:pPr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>
        <w:rPr>
          <w:rFonts w:ascii="Times New Roman" w:hAnsi="Times New Roman"/>
          <w:spacing w:val="-4"/>
        </w:rPr>
        <w:t>Санитарны</w:t>
      </w:r>
      <w:r>
        <w:rPr>
          <w:rFonts w:ascii="Times New Roman" w:hAnsi="Times New Roman"/>
          <w:spacing w:val="-4"/>
        </w:rPr>
        <w:t>е нормы, правила и гигиенические нормативы «Гигиенические</w:t>
      </w:r>
      <w:r>
        <w:rPr>
          <w:rFonts w:ascii="Times New Roman" w:hAnsi="Times New Roman"/>
        </w:rPr>
        <w:t xml:space="preserve"> требования к источникам нецентрализованного питьевого водоснабжения населения»: Постановление № 105. – </w:t>
      </w:r>
      <w:r>
        <w:rPr>
          <w:rFonts w:ascii="Times New Roman" w:hAnsi="Times New Roman"/>
        </w:rPr>
        <w:t>Введ</w:t>
      </w:r>
      <w:r>
        <w:rPr>
          <w:rFonts w:ascii="Times New Roman" w:hAnsi="Times New Roman"/>
        </w:rPr>
        <w:t>. 02.08.2010. – Минск: М-во здравоохранения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</w:rPr>
        <w:t>есп</w:t>
      </w:r>
      <w:r>
        <w:rPr>
          <w:rFonts w:ascii="Times New Roman" w:hAnsi="Times New Roman"/>
        </w:rPr>
        <w:t>. Беларусь, 2011. – 20 с.</w:t>
      </w:r>
    </w:p>
    <w:p w14:paraId="2D000000">
      <w:pPr>
        <w:ind/>
        <w:jc w:val="both"/>
        <w:rPr>
          <w:rFonts w:ascii="Times New Roman" w:hAnsi="Times New Roman"/>
        </w:rPr>
      </w:pPr>
    </w:p>
    <w:sectPr>
      <w:pgSz w:h="16838" w:orient="portrait" w:w="11906"/>
      <w:pgMar w:bottom="851" w:footer="709" w:gutter="0" w:header="709" w:left="1134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Основной шрифт абзаца1"/>
    <w:link w:val="Style_6_ch"/>
  </w:style>
  <w:style w:styleId="Style_6_ch" w:type="character">
    <w:name w:val="Основной шрифт абзаца1"/>
    <w:link w:val="Style_6"/>
  </w:style>
  <w:style w:styleId="Style_7" w:type="paragraph">
    <w:name w:val="toc 4"/>
    <w:next w:val="Style_4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Абзац списка1"/>
    <w:basedOn w:val="Style_4"/>
    <w:link w:val="Style_8_ch"/>
    <w:pPr>
      <w:ind w:firstLine="0" w:left="720"/>
      <w:contextualSpacing w:val="1"/>
    </w:pPr>
    <w:rPr>
      <w:rFonts w:ascii="Calibri" w:hAnsi="Calibri"/>
    </w:rPr>
  </w:style>
  <w:style w:styleId="Style_8_ch" w:type="character">
    <w:name w:val="Абзац списка1"/>
    <w:basedOn w:val="Style_4_ch"/>
    <w:link w:val="Style_8"/>
    <w:rPr>
      <w:rFonts w:ascii="Calibri" w:hAnsi="Calibri"/>
    </w:rPr>
  </w:style>
  <w:style w:styleId="Style_9" w:type="paragraph">
    <w:name w:val="toc 6"/>
    <w:next w:val="Style_4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Обычный1"/>
    <w:link w:val="Style_12_ch"/>
  </w:style>
  <w:style w:styleId="Style_12_ch" w:type="character">
    <w:name w:val="Обычный1"/>
    <w:link w:val="Style_12"/>
  </w:style>
  <w:style w:styleId="Style_13" w:type="paragraph">
    <w:name w:val="Обычный1"/>
    <w:link w:val="Style_13_ch"/>
  </w:style>
  <w:style w:styleId="Style_13_ch" w:type="character">
    <w:name w:val="Обычный1"/>
    <w:link w:val="Style_13"/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15" w:type="paragraph">
    <w:name w:val="Гиперссылка1"/>
    <w:basedOn w:val="Style_14"/>
    <w:link w:val="Style_15_ch"/>
    <w:rPr>
      <w:color w:val="0000FF"/>
      <w:u w:val="single"/>
    </w:rPr>
  </w:style>
  <w:style w:styleId="Style_15_ch" w:type="character">
    <w:name w:val="Гиперссылка1"/>
    <w:basedOn w:val="Style_14_ch"/>
    <w:link w:val="Style_15"/>
    <w:rPr>
      <w:color w:val="0000FF"/>
      <w:u w:val="single"/>
    </w:rPr>
  </w:style>
  <w:style w:styleId="Style_16" w:type="paragraph">
    <w:name w:val="toc 3"/>
    <w:next w:val="Style_4"/>
    <w:link w:val="Style_16_ch"/>
    <w:uiPriority w:val="39"/>
    <w:pPr>
      <w:ind w:firstLine="0" w:left="400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Гиперссылка1"/>
    <w:link w:val="Style_17_ch"/>
    <w:rPr>
      <w:color w:val="0000FF"/>
      <w:u w:val="single"/>
    </w:rPr>
  </w:style>
  <w:style w:styleId="Style_17_ch" w:type="character">
    <w:name w:val="Гиперссылка1"/>
    <w:link w:val="Style_17"/>
    <w:rPr>
      <w:color w:val="0000FF"/>
      <w:u w:val="single"/>
    </w:rPr>
  </w:style>
  <w:style w:styleId="Style_18" w:type="paragraph">
    <w:name w:val="heading 5"/>
    <w:next w:val="Style_4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8_ch" w:type="character">
    <w:name w:val="heading 5"/>
    <w:link w:val="Style_18"/>
    <w:rPr>
      <w:rFonts w:ascii="XO Thames" w:hAnsi="XO Thames"/>
      <w:b w:val="1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heading 1"/>
    <w:next w:val="Style_4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/>
      <w:jc w:val="both"/>
    </w:pPr>
    <w:rPr>
      <w:rFonts w:ascii="XO Thames" w:hAnsi="XO Thames"/>
    </w:rPr>
  </w:style>
  <w:style w:styleId="Style_22_ch" w:type="character">
    <w:name w:val="Footnote"/>
    <w:link w:val="Style_22"/>
    <w:rPr>
      <w:rFonts w:ascii="XO Thames" w:hAnsi="XO Thames"/>
    </w:rPr>
  </w:style>
  <w:style w:styleId="Style_23" w:type="paragraph">
    <w:name w:val="toc 1"/>
    <w:next w:val="Style_4"/>
    <w:link w:val="Style_23_ch"/>
    <w:uiPriority w:val="39"/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3" w:type="paragraph">
    <w:name w:val="apple-converted-space"/>
    <w:basedOn w:val="Style_14"/>
    <w:link w:val="Style_3_ch"/>
  </w:style>
  <w:style w:styleId="Style_3_ch" w:type="character">
    <w:name w:val="apple-converted-space"/>
    <w:basedOn w:val="Style_14_ch"/>
    <w:link w:val="Style_3"/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1" w:type="paragraph">
    <w:name w:val="Normal (Web)"/>
    <w:basedOn w:val="Style_4"/>
    <w:link w:val="Style_1_ch"/>
    <w:pPr>
      <w:spacing w:after="120"/>
      <w:ind w:firstLine="0" w:left="283"/>
    </w:pPr>
  </w:style>
  <w:style w:styleId="Style_1_ch" w:type="character">
    <w:name w:val="Normal (Web)"/>
    <w:basedOn w:val="Style_4_ch"/>
    <w:link w:val="Style_1"/>
  </w:style>
  <w:style w:styleId="Style_25" w:type="paragraph">
    <w:name w:val="toc 9"/>
    <w:next w:val="Style_4"/>
    <w:link w:val="Style_25_ch"/>
    <w:uiPriority w:val="39"/>
    <w:pPr>
      <w:ind w:firstLine="0" w:left="1600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4"/>
    <w:link w:val="Style_26_ch"/>
    <w:uiPriority w:val="39"/>
    <w:pPr>
      <w:ind w:firstLine="0" w:left="1400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4"/>
    <w:link w:val="Style_27_ch"/>
    <w:uiPriority w:val="39"/>
    <w:pPr>
      <w:ind w:firstLine="0" w:left="800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4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oc 10"/>
    <w:next w:val="Style_4"/>
    <w:link w:val="Style_29_ch"/>
    <w:uiPriority w:val="39"/>
    <w:pPr>
      <w:ind w:firstLine="0" w:left="1800"/>
    </w:pPr>
    <w:rPr>
      <w:rFonts w:ascii="XO Thames" w:hAnsi="XO Thames"/>
      <w:sz w:val="28"/>
    </w:rPr>
  </w:style>
  <w:style w:styleId="Style_29_ch" w:type="character">
    <w:name w:val="toc 10"/>
    <w:link w:val="Style_29"/>
    <w:rPr>
      <w:rFonts w:ascii="XO Thames" w:hAnsi="XO Thames"/>
      <w:sz w:val="28"/>
    </w:rPr>
  </w:style>
  <w:style w:styleId="Style_30" w:type="paragraph">
    <w:name w:val="Title"/>
    <w:next w:val="Style_4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4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4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33" w:type="paragraph">
    <w:name w:val="western"/>
    <w:basedOn w:val="Style_4"/>
    <w:link w:val="Style_33_ch"/>
    <w:pPr>
      <w:spacing w:after="115" w:beforeAutospacing="on" w:line="240" w:lineRule="auto"/>
      <w:ind/>
    </w:pPr>
    <w:rPr>
      <w:rFonts w:ascii="Calibri" w:hAnsi="Calibri"/>
      <w:sz w:val="24"/>
    </w:rPr>
  </w:style>
  <w:style w:styleId="Style_33_ch" w:type="character">
    <w:name w:val="western"/>
    <w:basedOn w:val="Style_4_ch"/>
    <w:link w:val="Style_33"/>
    <w:rPr>
      <w:rFonts w:ascii="Calibri" w:hAnsi="Calibri"/>
      <w:sz w:val="24"/>
    </w:rPr>
  </w:style>
  <w:style w:styleId="Style_2" w:type="table">
    <w:name w:val="Table Grid"/>
    <w:basedOn w:val="Style_3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2021-12-27T09:23:37Z</dcterms:modified>
</cp:coreProperties>
</file>