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23A06" w14:textId="77777777"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МАТЕРИАЛЫ</w:t>
      </w:r>
    </w:p>
    <w:p w14:paraId="5F98DF34" w14:textId="77777777"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14:paraId="06B7C4CE" w14:textId="77777777"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14:paraId="5305D06D" w14:textId="77777777" w:rsidR="00DC58EF" w:rsidRPr="00525B67" w:rsidRDefault="00DC58EF" w:rsidP="00851F90">
      <w:pPr>
        <w:spacing w:after="0" w:line="240" w:lineRule="auto"/>
        <w:jc w:val="center"/>
        <w:rPr>
          <w:rFonts w:ascii="Times New Roman" w:hAnsi="Times New Roman"/>
          <w:b/>
          <w:sz w:val="30"/>
          <w:szCs w:val="30"/>
          <w:lang w:val="be-BY"/>
        </w:rPr>
      </w:pPr>
    </w:p>
    <w:p w14:paraId="2119CB47" w14:textId="77777777"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14:paraId="759828EC" w14:textId="77777777" w:rsidR="000C7BBC" w:rsidRPr="00525B67" w:rsidRDefault="000C7BBC" w:rsidP="001D256F">
      <w:pPr>
        <w:spacing w:after="0" w:line="226" w:lineRule="auto"/>
        <w:jc w:val="center"/>
        <w:rPr>
          <w:rFonts w:ascii="Times New Roman" w:hAnsi="Times New Roman"/>
          <w:i/>
          <w:sz w:val="30"/>
          <w:szCs w:val="30"/>
        </w:rPr>
      </w:pPr>
    </w:p>
    <w:p w14:paraId="6966E689" w14:textId="77777777"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14:paraId="2BA6F8E7" w14:textId="77777777"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14:paraId="3FA7754F" w14:textId="77777777"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БелТА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14:paraId="164C24CE" w14:textId="77777777" w:rsidR="000C7BBC" w:rsidRPr="00525B67" w:rsidRDefault="000C7BBC" w:rsidP="001D256F">
      <w:pPr>
        <w:spacing w:after="0" w:line="226" w:lineRule="auto"/>
        <w:jc w:val="center"/>
        <w:rPr>
          <w:rFonts w:ascii="Times New Roman" w:hAnsi="Times New Roman"/>
          <w:b/>
          <w:sz w:val="30"/>
          <w:szCs w:val="30"/>
        </w:rPr>
      </w:pPr>
    </w:p>
    <w:p w14:paraId="022CA2CB" w14:textId="77777777"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14:paraId="056E02D1" w14:textId="77777777"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Эта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на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14:paraId="686EC0D3" w14:textId="77777777"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14:paraId="7BE858A1" w14:textId="77777777" w:rsidR="008B5E34" w:rsidRPr="00525B67" w:rsidRDefault="008B5E34" w:rsidP="001D256F">
      <w:pPr>
        <w:spacing w:after="0" w:line="226" w:lineRule="auto"/>
        <w:ind w:firstLine="709"/>
        <w:jc w:val="both"/>
        <w:rPr>
          <w:rFonts w:ascii="Times New Roman" w:hAnsi="Times New Roman"/>
          <w:i/>
          <w:sz w:val="30"/>
          <w:szCs w:val="30"/>
        </w:rPr>
      </w:pPr>
    </w:p>
    <w:p w14:paraId="1B9D05F6" w14:textId="77777777"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proofErr w:type="spellStart"/>
      <w:r w:rsidR="00460AF8" w:rsidRPr="00525B67">
        <w:rPr>
          <w:rFonts w:ascii="Times New Roman" w:hAnsi="Times New Roman"/>
          <w:i/>
          <w:sz w:val="30"/>
          <w:szCs w:val="30"/>
        </w:rPr>
        <w:t>ения</w:t>
      </w:r>
      <w:proofErr w:type="spellEnd"/>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14:paraId="71FA7060" w14:textId="77777777"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 xml:space="preserve">78-й годовщине </w:t>
      </w:r>
      <w:proofErr w:type="spellStart"/>
      <w:r w:rsidRPr="00525B67">
        <w:rPr>
          <w:rFonts w:ascii="Times New Roman" w:hAnsi="Times New Roman"/>
          <w:i/>
          <w:sz w:val="30"/>
          <w:szCs w:val="30"/>
        </w:rPr>
        <w:t>Хатынской</w:t>
      </w:r>
      <w:proofErr w:type="spellEnd"/>
      <w:r w:rsidRPr="00525B67">
        <w:rPr>
          <w:rFonts w:ascii="Times New Roman" w:hAnsi="Times New Roman"/>
          <w:i/>
          <w:sz w:val="30"/>
          <w:szCs w:val="30"/>
        </w:rPr>
        <w:t xml:space="preserve"> трагедии</w:t>
      </w:r>
      <w:r w:rsidR="00A86425" w:rsidRPr="00525B67">
        <w:rPr>
          <w:rFonts w:ascii="Times New Roman" w:hAnsi="Times New Roman"/>
          <w:i/>
          <w:sz w:val="30"/>
          <w:szCs w:val="30"/>
        </w:rPr>
        <w:t xml:space="preserve"> </w:t>
      </w:r>
    </w:p>
    <w:p w14:paraId="2FB6140D" w14:textId="77777777"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14:paraId="772C1641" w14:textId="77777777"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14:paraId="715EAC27"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14:paraId="57FF4DA0" w14:textId="77777777"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14:paraId="7851DDE5" w14:textId="77777777"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14:paraId="77BA942C" w14:textId="77777777"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14:paraId="4BD35119" w14:textId="77777777"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14:paraId="04DB0254" w14:textId="77777777"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14:paraId="60F5069D" w14:textId="77777777"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14:paraId="330B946C" w14:textId="77777777"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14:paraId="5E49AF7A" w14:textId="77777777"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14:paraId="4BDDB6A8" w14:textId="77777777"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14:paraId="13B534FC" w14:textId="77777777"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14:paraId="29BE54E1" w14:textId="77777777"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14:paraId="05CB1176" w14:textId="77777777"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14:paraId="5A69878D" w14:textId="77777777"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14:paraId="1D820218" w14:textId="77777777"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14:paraId="1F970C57" w14:textId="77777777"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14:paraId="00C1333C"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14:paraId="0ED73F2B"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14:paraId="729F1B34" w14:textId="77777777"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14:paraId="5CE38347" w14:textId="77777777"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14:paraId="1F3013BC" w14:textId="77777777"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14:paraId="1271DE14" w14:textId="77777777"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8">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9">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1">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3">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14:paraId="35616362" w14:textId="77777777" w:rsidR="00700872" w:rsidRPr="00525B67" w:rsidRDefault="00700872" w:rsidP="00700872">
      <w:pPr>
        <w:spacing w:after="0" w:line="280" w:lineRule="exact"/>
        <w:ind w:left="708" w:firstLine="708"/>
        <w:jc w:val="both"/>
        <w:rPr>
          <w:rFonts w:ascii="Times New Roman" w:hAnsi="Times New Roman"/>
          <w:i/>
          <w:sz w:val="28"/>
          <w:szCs w:val="28"/>
        </w:rPr>
      </w:pPr>
      <w:hyperlink r:id="rId14">
        <w:r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14:paraId="742E7054" w14:textId="77777777"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14:paraId="34983C87" w14:textId="77777777"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5">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14:paraId="4F56E42E" w14:textId="77777777"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14:paraId="537C8A15" w14:textId="77777777"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14:paraId="6BCA2B82" w14:textId="77777777"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14:paraId="45F3F8F0" w14:textId="77777777"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14:paraId="3BA1D971" w14:textId="77777777"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14:paraId="4B1F9E1D" w14:textId="77777777"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14:paraId="1701A51D"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14:paraId="35281690"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14:paraId="5DF661A9" w14:textId="77777777"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14:paraId="500D77F2"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14:paraId="2FBF59CE"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14:paraId="5AE4F3F9"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14:paraId="1C7083E1"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14:paraId="23802236"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14:paraId="05AD326F"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proofErr w:type="spellStart"/>
      <w:r w:rsidRPr="00525B67">
        <w:rPr>
          <w:rFonts w:ascii="Times New Roman" w:hAnsi="Times New Roman"/>
          <w:sz w:val="30"/>
          <w:szCs w:val="30"/>
        </w:rPr>
        <w:t>Монастырьке</w:t>
      </w:r>
      <w:proofErr w:type="spellEnd"/>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 xml:space="preserve">кие, специальные </w:t>
      </w:r>
      <w:proofErr w:type="spellStart"/>
      <w:r w:rsidRPr="00525B67">
        <w:rPr>
          <w:rFonts w:ascii="Times New Roman" w:hAnsi="Times New Roman"/>
          <w:sz w:val="30"/>
          <w:szCs w:val="30"/>
        </w:rPr>
        <w:t>айнзацгруппы</w:t>
      </w:r>
      <w:proofErr w:type="spellEnd"/>
      <w:r w:rsidRPr="00525B67">
        <w:rPr>
          <w:rFonts w:ascii="Times New Roman" w:hAnsi="Times New Roman"/>
          <w:sz w:val="30"/>
          <w:szCs w:val="30"/>
        </w:rPr>
        <w:t>.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14:paraId="6074845E" w14:textId="77777777"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14:paraId="71070541"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14:paraId="3561792A"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14:paraId="7771FEF8" w14:textId="77777777"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14:paraId="6B4F7191" w14:textId="77777777"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14:paraId="61C4C315"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14:paraId="547CDCC3" w14:textId="77777777"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14:paraId="552E0067" w14:textId="77777777"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14:paraId="60D247E8"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14:paraId="7E1D7CF9" w14:textId="77777777"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14:paraId="4C5059A9" w14:textId="77777777"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w:t>
      </w:r>
      <w:r w:rsidRPr="00525B67">
        <w:rPr>
          <w:rFonts w:ascii="Times New Roman" w:hAnsi="Times New Roman"/>
          <w:sz w:val="30"/>
          <w:szCs w:val="30"/>
        </w:rPr>
        <w:lastRenderedPageBreak/>
        <w:t xml:space="preserve">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14:paraId="418C9651" w14:textId="77777777"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14:paraId="496F66CF" w14:textId="77777777"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14:paraId="51C7F4AE" w14:textId="77777777"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14:paraId="7F029D1C" w14:textId="77777777"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14:paraId="22523C93" w14:textId="77777777"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14:paraId="47EAA18D" w14:textId="77777777"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14:paraId="0F448960" w14:textId="77777777"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14:paraId="5356D19C"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w:t>
      </w:r>
      <w:r w:rsidRPr="00525B67">
        <w:rPr>
          <w:rFonts w:ascii="Times New Roman" w:hAnsi="Times New Roman"/>
          <w:sz w:val="30"/>
          <w:szCs w:val="30"/>
        </w:rPr>
        <w:lastRenderedPageBreak/>
        <w:t>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14:paraId="44B42E2E"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14:paraId="4F5C72C0"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14:paraId="28AB1A00"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proofErr w:type="spellStart"/>
      <w:r w:rsidR="002A3074" w:rsidRPr="00525B67">
        <w:rPr>
          <w:rFonts w:ascii="Times New Roman" w:hAnsi="Times New Roman"/>
          <w:sz w:val="30"/>
          <w:szCs w:val="30"/>
        </w:rPr>
        <w:t>Тростенец</w:t>
      </w:r>
      <w:proofErr w:type="spellEnd"/>
      <w:r w:rsidR="002A3074" w:rsidRPr="00525B67">
        <w:rPr>
          <w:rFonts w:ascii="Times New Roman" w:hAnsi="Times New Roman"/>
          <w:sz w:val="30"/>
          <w:szCs w:val="30"/>
        </w:rPr>
        <w:t xml:space="preserve">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proofErr w:type="spellStart"/>
      <w:r w:rsidR="00BB06B1" w:rsidRPr="00525B67">
        <w:rPr>
          <w:rFonts w:ascii="Times New Roman" w:hAnsi="Times New Roman"/>
          <w:sz w:val="30"/>
          <w:szCs w:val="30"/>
        </w:rPr>
        <w:t>д.</w:t>
      </w:r>
      <w:r w:rsidRPr="00525B67">
        <w:rPr>
          <w:rFonts w:ascii="Times New Roman" w:hAnsi="Times New Roman"/>
          <w:sz w:val="30"/>
          <w:szCs w:val="30"/>
        </w:rPr>
        <w:t>Масюковщина</w:t>
      </w:r>
      <w:proofErr w:type="spellEnd"/>
      <w:r w:rsidRPr="00525B67">
        <w:rPr>
          <w:rFonts w:ascii="Times New Roman" w:hAnsi="Times New Roman"/>
          <w:sz w:val="30"/>
          <w:szCs w:val="30"/>
        </w:rPr>
        <w:t xml:space="preserve">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 xml:space="preserve">человек); лагерь на улице </w:t>
      </w:r>
      <w:r w:rsidRPr="00525B67">
        <w:rPr>
          <w:rFonts w:ascii="Times New Roman" w:hAnsi="Times New Roman"/>
          <w:sz w:val="30"/>
          <w:szCs w:val="30"/>
        </w:rPr>
        <w:lastRenderedPageBreak/>
        <w:t>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14:paraId="47113B34" w14:textId="77777777"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14:paraId="7B19257C" w14:textId="77777777"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 xml:space="preserve">ла </w:t>
      </w:r>
      <w:proofErr w:type="spellStart"/>
      <w:r w:rsidRPr="00525B67">
        <w:rPr>
          <w:rFonts w:ascii="Times New Roman" w:hAnsi="Times New Roman"/>
          <w:sz w:val="30"/>
          <w:szCs w:val="30"/>
          <w:lang w:bidi="ru-RU"/>
        </w:rPr>
        <w:t>Паричского</w:t>
      </w:r>
      <w:proofErr w:type="spellEnd"/>
      <w:r w:rsidRPr="00525B67">
        <w:rPr>
          <w:rFonts w:ascii="Times New Roman" w:hAnsi="Times New Roman"/>
          <w:sz w:val="30"/>
          <w:szCs w:val="30"/>
          <w:lang w:bidi="ru-RU"/>
        </w:rPr>
        <w:t xml:space="preserve">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14:paraId="0EBFFFF5" w14:textId="77777777"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14:paraId="76CB21DB"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14:paraId="69DED62D"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 xml:space="preserve">г., занимали материалы и </w:t>
      </w:r>
      <w:r w:rsidRPr="00525B67">
        <w:rPr>
          <w:rFonts w:ascii="Times New Roman" w:hAnsi="Times New Roman"/>
          <w:sz w:val="30"/>
          <w:szCs w:val="30"/>
        </w:rPr>
        <w:lastRenderedPageBreak/>
        <w:t>документы о преступлениях, совершенных нацистами и их пособниками на территории Беларуси.</w:t>
      </w:r>
    </w:p>
    <w:p w14:paraId="24CB73B6" w14:textId="77777777"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14:paraId="2C22CE28" w14:textId="77777777"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w:t>
      </w:r>
      <w:proofErr w:type="spellStart"/>
      <w:r w:rsidR="002D58E0" w:rsidRPr="00525B67">
        <w:rPr>
          <w:rFonts w:ascii="Times New Roman" w:hAnsi="Times New Roman"/>
          <w:sz w:val="30"/>
          <w:szCs w:val="30"/>
          <w:lang w:bidi="ru-RU"/>
        </w:rPr>
        <w:t>Р.Райсом</w:t>
      </w:r>
      <w:proofErr w:type="spellEnd"/>
      <w:r w:rsidR="002D58E0" w:rsidRPr="00525B67">
        <w:rPr>
          <w:rFonts w:ascii="Times New Roman" w:hAnsi="Times New Roman"/>
          <w:sz w:val="30"/>
          <w:szCs w:val="30"/>
          <w:lang w:bidi="ru-RU"/>
        </w:rPr>
        <w:t xml:space="preserve">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в районе г.</w:t>
      </w:r>
      <w:r w:rsidRPr="00525B67">
        <w:rPr>
          <w:rFonts w:ascii="Times New Roman" w:hAnsi="Times New Roman"/>
          <w:sz w:val="30"/>
          <w:szCs w:val="30"/>
          <w:lang w:bidi="ru-RU"/>
        </w:rPr>
        <w:t>Белостока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 xml:space="preserve">лесу у д.Старые </w:t>
      </w:r>
      <w:proofErr w:type="spellStart"/>
      <w:r w:rsidR="000F07C0" w:rsidRPr="00525B67">
        <w:rPr>
          <w:rFonts w:ascii="Times New Roman" w:hAnsi="Times New Roman"/>
          <w:sz w:val="30"/>
          <w:szCs w:val="30"/>
          <w:lang w:bidi="ru-RU"/>
        </w:rPr>
        <w:t>Пухалы</w:t>
      </w:r>
      <w:proofErr w:type="spellEnd"/>
      <w:r w:rsidR="000F07C0" w:rsidRPr="00525B67">
        <w:rPr>
          <w:rFonts w:ascii="Times New Roman" w:hAnsi="Times New Roman"/>
          <w:sz w:val="30"/>
          <w:szCs w:val="30"/>
          <w:lang w:bidi="ru-RU"/>
        </w:rPr>
        <w:t xml:space="preserve">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proofErr w:type="spellEnd"/>
      <w:r w:rsidR="002D58E0"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w:t>
      </w:r>
      <w:proofErr w:type="spellEnd"/>
      <w:r w:rsidR="002D58E0" w:rsidRPr="00525B67">
        <w:rPr>
          <w:rFonts w:ascii="Times New Roman" w:hAnsi="Times New Roman"/>
          <w:sz w:val="30"/>
          <w:szCs w:val="30"/>
          <w:lang w:bidi="ru-RU"/>
        </w:rPr>
        <w:t>,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Зани</w:t>
      </w:r>
      <w:proofErr w:type="spellEnd"/>
      <w:r w:rsidRPr="00525B67">
        <w:rPr>
          <w:rFonts w:ascii="Times New Roman" w:hAnsi="Times New Roman"/>
          <w:sz w:val="30"/>
          <w:szCs w:val="30"/>
          <w:lang w:bidi="ru-RU"/>
        </w:rPr>
        <w:t xml:space="preserve"> и </w:t>
      </w:r>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 убив более 30 жителей.</w:t>
      </w:r>
    </w:p>
    <w:p w14:paraId="4E4BA17B"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14:paraId="467EDA6D" w14:textId="77777777"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14:paraId="0B8E7346" w14:textId="77777777"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14:paraId="72E8F894" w14:textId="77777777"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14:paraId="6E952FC9" w14:textId="77777777"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14:paraId="6C57331E"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14:paraId="685104E6"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14:paraId="0735E744" w14:textId="77777777"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14:paraId="39F5CAE9" w14:textId="77777777"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14:paraId="257610C2" w14:textId="77777777"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14:paraId="3D6D9A39" w14:textId="77777777"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14:paraId="30C25BF1" w14:textId="77777777"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proofErr w:type="spellStart"/>
      <w:r w:rsidR="001E617B" w:rsidRPr="00525B67">
        <w:rPr>
          <w:rFonts w:ascii="Times New Roman" w:hAnsi="Times New Roman"/>
          <w:sz w:val="30"/>
          <w:szCs w:val="30"/>
        </w:rPr>
        <w:t>Тростенец</w:t>
      </w:r>
      <w:proofErr w:type="spellEnd"/>
      <w:r w:rsidR="00DA0F18" w:rsidRPr="00525B67">
        <w:rPr>
          <w:rFonts w:ascii="Times New Roman" w:hAnsi="Times New Roman"/>
          <w:sz w:val="30"/>
          <w:szCs w:val="30"/>
        </w:rPr>
        <w:t>»</w:t>
      </w:r>
      <w:r w:rsidRPr="00525B67">
        <w:rPr>
          <w:rFonts w:ascii="Times New Roman" w:hAnsi="Times New Roman"/>
          <w:sz w:val="30"/>
          <w:szCs w:val="30"/>
        </w:rPr>
        <w:t>;</w:t>
      </w:r>
    </w:p>
    <w:p w14:paraId="2B4E0139" w14:textId="77777777"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14:paraId="6A91A4EC" w14:textId="77777777"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14:paraId="7070DAEE" w14:textId="77777777"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14:paraId="348BDD90" w14:textId="77777777"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14:paraId="74BFB5F3" w14:textId="77777777"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14:paraId="79B426E8" w14:textId="77777777"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14:paraId="0F45873F" w14:textId="77777777"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14:paraId="79624430" w14:textId="77777777"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w:t>
      </w:r>
      <w:r w:rsidRPr="00525B67">
        <w:rPr>
          <w:rFonts w:ascii="Times New Roman" w:hAnsi="Times New Roman"/>
          <w:spacing w:val="-2"/>
          <w:sz w:val="30"/>
          <w:szCs w:val="30"/>
        </w:rPr>
        <w:lastRenderedPageBreak/>
        <w:t xml:space="preserve">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14:paraId="49DEF081"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14:paraId="08BD6380"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14:paraId="649EE8C9" w14:textId="77777777"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14:paraId="3F554534" w14:textId="77777777"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14:paraId="454CC218"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Объект проведения полевых поисковых работ № 122 (северо-запад </w:t>
      </w:r>
      <w:proofErr w:type="spellStart"/>
      <w:r w:rsidRPr="00525B67">
        <w:rPr>
          <w:rFonts w:ascii="Times New Roman" w:hAnsi="Times New Roman"/>
          <w:i/>
          <w:sz w:val="28"/>
          <w:szCs w:val="28"/>
        </w:rPr>
        <w:t>г.Логойска</w:t>
      </w:r>
      <w:proofErr w:type="spellEnd"/>
      <w:r w:rsidRPr="00525B67">
        <w:rPr>
          <w:rFonts w:ascii="Times New Roman" w:hAnsi="Times New Roman"/>
          <w:i/>
          <w:sz w:val="28"/>
          <w:szCs w:val="28"/>
        </w:rPr>
        <w:t>).</w:t>
      </w:r>
    </w:p>
    <w:p w14:paraId="2CBEE345"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14:paraId="32218BA9"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w:t>
      </w:r>
      <w:proofErr w:type="spellStart"/>
      <w:r w:rsidRPr="00525B67">
        <w:rPr>
          <w:rFonts w:ascii="Times New Roman" w:hAnsi="Times New Roman"/>
          <w:i/>
          <w:sz w:val="28"/>
          <w:szCs w:val="28"/>
        </w:rPr>
        <w:t>д.Гайна</w:t>
      </w:r>
      <w:proofErr w:type="spellEnd"/>
      <w:r w:rsidRPr="00525B67">
        <w:rPr>
          <w:rFonts w:ascii="Times New Roman" w:hAnsi="Times New Roman"/>
          <w:i/>
          <w:sz w:val="28"/>
          <w:szCs w:val="28"/>
        </w:rPr>
        <w:t xml:space="preserve">. </w:t>
      </w:r>
    </w:p>
    <w:p w14:paraId="4BF791B5" w14:textId="77777777"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14:paraId="739DB93F"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14:paraId="04D8A6B1"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14:paraId="067F9112"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14:paraId="66ED1EED" w14:textId="77777777"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14:paraId="31C85D90"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lastRenderedPageBreak/>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14:paraId="6EBA33A1"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14:paraId="785B8AEA" w14:textId="77777777"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14:paraId="6AED34B5" w14:textId="77777777"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14:paraId="290BEDC7" w14:textId="77777777"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14:paraId="49ADC608" w14:textId="77777777"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14:paraId="2A92F979" w14:textId="77777777"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14:paraId="63796541" w14:textId="77777777"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14:paraId="432E67B3" w14:textId="77777777"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14:paraId="664D05E2" w14:textId="77777777"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14:paraId="33E7905C" w14:textId="77777777"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proofErr w:type="spellStart"/>
      <w:r w:rsidR="009C35F8" w:rsidRPr="00525B67">
        <w:rPr>
          <w:rFonts w:ascii="Times New Roman" w:hAnsi="Times New Roman"/>
          <w:sz w:val="30"/>
          <w:szCs w:val="30"/>
        </w:rPr>
        <w:t>Беларускі</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спартыўны</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Алімп</w:t>
      </w:r>
      <w:proofErr w:type="spellEnd"/>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14:paraId="5599EA6B" w14:textId="77777777"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 xml:space="preserve">Сложить воедино все страницы нашей непростой </w:t>
      </w:r>
      <w:r w:rsidRPr="00525B67">
        <w:rPr>
          <w:rFonts w:ascii="Times New Roman" w:hAnsi="Times New Roman"/>
          <w:i/>
          <w:spacing w:val="-4"/>
          <w:sz w:val="30"/>
          <w:szCs w:val="30"/>
        </w:rPr>
        <w:lastRenderedPageBreak/>
        <w:t>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14:paraId="0CC2F247" w14:textId="77777777"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14:paraId="2DD53462" w14:textId="77777777"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65D6B" w14:textId="77777777" w:rsidR="00860E6E" w:rsidRDefault="00860E6E" w:rsidP="003C3604">
      <w:pPr>
        <w:spacing w:after="0" w:line="240" w:lineRule="auto"/>
      </w:pPr>
      <w:r>
        <w:separator/>
      </w:r>
    </w:p>
  </w:endnote>
  <w:endnote w:type="continuationSeparator" w:id="0">
    <w:p w14:paraId="5DCDA397" w14:textId="77777777" w:rsidR="00860E6E" w:rsidRDefault="00860E6E"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097DB" w14:textId="77777777" w:rsidR="00860E6E" w:rsidRDefault="00860E6E" w:rsidP="003C3604">
      <w:pPr>
        <w:spacing w:after="0" w:line="240" w:lineRule="auto"/>
      </w:pPr>
      <w:r>
        <w:separator/>
      </w:r>
    </w:p>
  </w:footnote>
  <w:footnote w:type="continuationSeparator" w:id="0">
    <w:p w14:paraId="27C0A790" w14:textId="77777777" w:rsidR="00860E6E" w:rsidRDefault="00860E6E"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7C215" w14:textId="77777777"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525B67">
      <w:rPr>
        <w:rFonts w:ascii="Times New Roman" w:hAnsi="Times New Roman"/>
        <w:noProof/>
        <w:sz w:val="28"/>
      </w:rPr>
      <w:t>14</w:t>
    </w:r>
    <w:r w:rsidRPr="003C3604">
      <w:rPr>
        <w:rFonts w:ascii="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16cid:durableId="2116513220">
    <w:abstractNumId w:val="0"/>
  </w:num>
  <w:num w:numId="2" w16cid:durableId="199440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E6F7C"/>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94EDB"/>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DF3"/>
  <w15:docId w15:val="{3363FACE-BEC6-044C-954A-A5710DA2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0A2E-4C01-404F-9820-17555A6030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4533</Words>
  <Characters>25843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Карина Куренова</cp:lastModifiedBy>
  <cp:revision>2</cp:revision>
  <cp:lastPrinted>2022-03-04T09:44:00Z</cp:lastPrinted>
  <dcterms:created xsi:type="dcterms:W3CDTF">2025-01-28T13:14:00Z</dcterms:created>
  <dcterms:modified xsi:type="dcterms:W3CDTF">2025-01-28T13:14:00Z</dcterms:modified>
</cp:coreProperties>
</file>