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C3" w:rsidRDefault="00A930C3" w:rsidP="00A930C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A930C3" w:rsidRDefault="00A930C3" w:rsidP="00A930C3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2022/2023 учебном году в учреждения высшего образования Республики Таджикистан</w:t>
      </w:r>
    </w:p>
    <w:p w:rsidR="00A930C3" w:rsidRDefault="00A930C3" w:rsidP="00A930C3">
      <w:pPr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A930C3" w:rsidRDefault="00A930C3" w:rsidP="00A930C3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D7B76" w:rsidRDefault="008D7B76">
      <w:bookmarkStart w:id="0" w:name="_GoBack"/>
      <w:bookmarkEnd w:id="0"/>
    </w:p>
    <w:sectPr w:rsidR="008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8D7B76"/>
    <w:rsid w:val="00A930C3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2022-03-11T05:43:00Z</dcterms:modified>
</cp:coreProperties>
</file>