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jc w:val="center"/>
        <w:rPr>
          <w:rFonts w:ascii="Tahoma" w:hAnsi="Tahoma" w:cs="Tahoma"/>
          <w:color w:val="111111"/>
          <w:sz w:val="22"/>
          <w:szCs w:val="22"/>
        </w:rPr>
      </w:pPr>
      <w:r>
        <w:rPr>
          <w:rStyle w:val="a4"/>
          <w:rFonts w:ascii="Tahoma" w:hAnsi="Tahoma" w:cs="Tahoma"/>
          <w:color w:val="111111"/>
          <w:sz w:val="22"/>
          <w:szCs w:val="22"/>
        </w:rPr>
        <w:t> «Электронные обращения граждан»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Электронное обращение подается путем размещения его в специальной рубрике «Электронные обращения» на официальном сайте средней школы.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 xml:space="preserve">Электронные обращения, поступившие школу </w:t>
      </w:r>
      <w:bookmarkStart w:id="0" w:name="_GoBack"/>
      <w:bookmarkEnd w:id="0"/>
      <w:r>
        <w:rPr>
          <w:rFonts w:ascii="Tahoma" w:hAnsi="Tahoma" w:cs="Tahoma"/>
          <w:color w:val="111111"/>
          <w:sz w:val="22"/>
          <w:szCs w:val="22"/>
        </w:rPr>
        <w:t>подлежат рассмотрению в порядке, установленном для рассмотрения письменных обращений.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111111"/>
          <w:sz w:val="22"/>
          <w:szCs w:val="22"/>
        </w:rPr>
        <w:t>Электронные обращения должны соответствовать следующим требованиям: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- излагаться на белорусском или русском языке;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Style w:val="a4"/>
          <w:rFonts w:ascii="Tahoma" w:hAnsi="Tahoma" w:cs="Tahoma"/>
          <w:color w:val="111111"/>
          <w:sz w:val="22"/>
          <w:szCs w:val="22"/>
        </w:rPr>
        <w:t>- обращения граждан должны содержать:</w:t>
      </w:r>
      <w:r>
        <w:rPr>
          <w:rFonts w:ascii="Tahoma" w:hAnsi="Tahoma" w:cs="Tahoma"/>
          <w:color w:val="111111"/>
          <w:sz w:val="22"/>
          <w:szCs w:val="22"/>
        </w:rPr>
        <w:t>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наименование и (или) адрес организации либо должность лица, которым направляется обращение;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изложение сути обращения;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адрес электронной почты заявителя.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Style w:val="a4"/>
          <w:rFonts w:ascii="Tahoma" w:hAnsi="Tahoma" w:cs="Tahoma"/>
          <w:color w:val="111111"/>
          <w:sz w:val="22"/>
          <w:szCs w:val="22"/>
        </w:rPr>
        <w:t>- обращения юридических лиц должны содержать: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наименование и (или) адрес организации либо должность лица, которым направляется обращение;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полное наименование юридического лица и его место нахождения;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изложение сути обращения;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адрес электронной почты заявителя.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Текст обращения должен поддаваться прочтению. Не допускается употребление в обращениях нецензурных либо оскорбительных слов или выражений.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К электронным обращениям, подаваемым представителями заявителей, должны прилагаться электронные копии документов, подтверждающих их полномочия.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К электронному обращению могут быть прикреплены дополнительные документы и (или) сведения (документы, подтверждающие полномочия представителей заявителей, документы о результатах предыдущего рассмотрения обращений и другие документы и (или) сведения, необходимые для решения вопросов, изложенных в обращении).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 xml:space="preserve">При этом такие документы и (или) сведения необходимо представлять в форме файлов в форматах являются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Portable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Document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Format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/A (PDF/A),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Office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Open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XML (DOCX), двойной формат с разметкой (DOC),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Rich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Text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Format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(RTF), текстовый файл (ТХТ),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Open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Document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lastRenderedPageBreak/>
        <w:t>Format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(ODT), формат архивации и сжатия данных (ZIP, RAR),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Portable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Network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Graphics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(PNG),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Tagged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Image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File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Format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(TIFF),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Joint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Photograph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Experts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Group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(JPEG),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Joint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Photograph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111111"/>
          <w:sz w:val="22"/>
          <w:szCs w:val="22"/>
        </w:rPr>
        <w:t>Group</w:t>
      </w:r>
      <w:proofErr w:type="spellEnd"/>
      <w:r>
        <w:rPr>
          <w:rFonts w:ascii="Tahoma" w:hAnsi="Tahoma" w:cs="Tahoma"/>
          <w:color w:val="111111"/>
          <w:sz w:val="22"/>
          <w:szCs w:val="22"/>
        </w:rPr>
        <w:t xml:space="preserve"> (JPG).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Style w:val="a4"/>
          <w:rFonts w:ascii="Tahoma" w:hAnsi="Tahoma" w:cs="Tahoma"/>
          <w:color w:val="111111"/>
          <w:sz w:val="22"/>
          <w:szCs w:val="22"/>
        </w:rPr>
        <w:t>Обращение может быть оставлено без рассмотрения по существу, если:  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обращения не соответствуют вышеуказанным требованиям;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обращения содержат вопросы, решение которых не относится к компетенции организации, в которую они поступили, в том числе,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производимых (реализуемых) ими товаров, выполняемых работ, оказываемых услуг;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пропущен без уважительной причины срок подачи жалобы;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с заявителем прекращена переписка по изложенным в обращении вопросам.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Заявитель имеет право отозвать свое обращение до рассмотрения его по существу.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Отзыв электронного обращения осуществляется путем подачи письменного заявления либо направления заявления в электронной форме тем же способом, которым было направлено электронное обращение.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Style w:val="a4"/>
          <w:rFonts w:ascii="Tahoma" w:hAnsi="Tahoma" w:cs="Tahoma"/>
          <w:color w:val="111111"/>
          <w:sz w:val="22"/>
          <w:szCs w:val="22"/>
        </w:rPr>
        <w:t>Обжалование ответов на обращения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 </w:t>
      </w:r>
    </w:p>
    <w:p w:rsidR="005230DD" w:rsidRDefault="005230DD" w:rsidP="005230DD">
      <w:pPr>
        <w:pStyle w:val="a3"/>
        <w:shd w:val="clear" w:color="auto" w:fill="FFFFFF"/>
        <w:spacing w:before="187" w:beforeAutospacing="0" w:after="224" w:afterAutospacing="0"/>
        <w:rPr>
          <w:rFonts w:ascii="Tahoma" w:hAnsi="Tahoma" w:cs="Tahoma"/>
          <w:color w:val="111111"/>
          <w:sz w:val="22"/>
          <w:szCs w:val="22"/>
        </w:rPr>
      </w:pPr>
      <w:r>
        <w:rPr>
          <w:rFonts w:ascii="Tahoma" w:hAnsi="Tahoma" w:cs="Tahoma"/>
          <w:color w:val="111111"/>
          <w:sz w:val="22"/>
          <w:szCs w:val="22"/>
        </w:rPr>
        <w:t xml:space="preserve">В случае, если поступающие электронные обращения аналогичного содержания от разных заявителей носят массовый характер (более десяти обращений), ответы на такие обращения по решению руководителя государственного органа или иной государственной </w:t>
      </w:r>
      <w:r>
        <w:rPr>
          <w:rFonts w:ascii="Tahoma" w:hAnsi="Tahoma" w:cs="Tahoma"/>
          <w:color w:val="111111"/>
          <w:sz w:val="22"/>
          <w:szCs w:val="22"/>
        </w:rPr>
        <w:lastRenderedPageBreak/>
        <w:t>организации либо лица, уполномоченного им подписывать в установленном порядке ответы на обращения,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(уведомлений) заявителям.  </w:t>
      </w:r>
    </w:p>
    <w:p w:rsidR="00AC2BB5" w:rsidRDefault="00AC2BB5"/>
    <w:sectPr w:rsidR="00AC2BB5" w:rsidSect="00AC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0DD"/>
    <w:rsid w:val="00011F93"/>
    <w:rsid w:val="00400A3E"/>
    <w:rsid w:val="005230DD"/>
    <w:rsid w:val="006D2154"/>
    <w:rsid w:val="00AC2BB5"/>
    <w:rsid w:val="00C6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C783"/>
  <w15:docId w15:val="{A617C28D-DD57-4FC0-A4D1-180F8FDA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DD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0DD"/>
    <w:rPr>
      <w:b/>
      <w:bCs/>
    </w:rPr>
  </w:style>
  <w:style w:type="character" w:styleId="a5">
    <w:name w:val="Emphasis"/>
    <w:basedOn w:val="a0"/>
    <w:uiPriority w:val="20"/>
    <w:qFormat/>
    <w:rsid w:val="00523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>Microsoft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2</cp:revision>
  <dcterms:created xsi:type="dcterms:W3CDTF">2017-12-11T15:51:00Z</dcterms:created>
  <dcterms:modified xsi:type="dcterms:W3CDTF">2020-06-02T06:37:00Z</dcterms:modified>
</cp:coreProperties>
</file>