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9C" w:rsidRDefault="006C679C" w:rsidP="006C67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9C">
        <w:rPr>
          <w:rFonts w:ascii="Times New Roman" w:hAnsi="Times New Roman" w:cs="Times New Roman"/>
          <w:b/>
          <w:bCs/>
          <w:sz w:val="28"/>
          <w:szCs w:val="28"/>
        </w:rPr>
        <w:t>Тест Струпа. Методика словесно-цветовой интерференции</w:t>
      </w:r>
    </w:p>
    <w:p w:rsidR="006C679C" w:rsidRPr="006C679C" w:rsidRDefault="006C679C" w:rsidP="006C67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5A0D41D" wp14:editId="35F65FE3">
            <wp:extent cx="5934075" cy="3560445"/>
            <wp:effectExtent l="0" t="0" r="9525" b="1905"/>
            <wp:docPr id="9" name="Рисунок 9" descr="C:\Users\KaMo.by Admin\Desktop\1449686591_st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aMo.by Admin\Desktop\1449686591_stru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9C" w:rsidRPr="006C679C" w:rsidRDefault="006C679C" w:rsidP="006C67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Тест предназначен для диагностики когнитивного стиля гибкость/ригидность когнитивного контроля. Этот когнитивный стиль характеризует степень субъективной трудности в смене способов переработки информации в ситуации когнитивного конфликта. Ригидный контроль свидетельствует о трудностях в переходе от вербальных функций к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сенсорноперцептивным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в силу низкой степени их автоматизации, тогда как гибкий — об относительной легкости такого перехода в силу высокой степени их автоматизации.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b/>
          <w:bCs/>
          <w:sz w:val="28"/>
          <w:szCs w:val="28"/>
        </w:rPr>
        <w:t>Классический тест Струпа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Тест Струпа в своем классическом варианте включал в себя три стимульные карты:</w:t>
      </w:r>
      <w:r w:rsidRPr="006C679C">
        <w:rPr>
          <w:rFonts w:ascii="Times New Roman" w:hAnsi="Times New Roman" w:cs="Times New Roman"/>
          <w:sz w:val="28"/>
          <w:szCs w:val="28"/>
        </w:rPr>
        <w:br/>
      </w:r>
    </w:p>
    <w:p w:rsidR="006C679C" w:rsidRPr="006C679C" w:rsidRDefault="006C679C" w:rsidP="006C67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карту слов, напечатанных черной краской;</w:t>
      </w:r>
    </w:p>
    <w:p w:rsidR="006C679C" w:rsidRPr="006C679C" w:rsidRDefault="006C679C" w:rsidP="006C67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карту цветов (они были представлены в форме квадратов);</w:t>
      </w:r>
    </w:p>
    <w:p w:rsidR="006C679C" w:rsidRPr="006C679C" w:rsidRDefault="006C679C" w:rsidP="006C679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карту слов, напечатанных шрифтом несоответствующих значениям цветов.</w:t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br/>
        <w:t xml:space="preserve">При этом использовались пять цветов и слов: «красный», «синий», «зеленый», «коричневый» и «фиолетовый». Слова и цвета на белых картах были представлены в виде матрицы, состоящей из 10 строк и 10 столбцов. Каждый из пяти цветов (или слов) встречался дважды в каждой строке и в </w:t>
      </w:r>
      <w:r w:rsidRPr="006C679C">
        <w:rPr>
          <w:rFonts w:ascii="Times New Roman" w:hAnsi="Times New Roman" w:cs="Times New Roman"/>
          <w:sz w:val="28"/>
          <w:szCs w:val="28"/>
        </w:rPr>
        <w:lastRenderedPageBreak/>
        <w:t>каждом столбце, однако они не повторялись подряд и не образовывали каких-либо закономерных последовательностей. Слова с несоответствующими шрифту значениями были напечатаны одинаковое количество раз краской каждого из четырех остальных цветов (например, слово “красный” было напечатано одинаковое количество раз краской синего, зеленого, коричневого и фиолетового цветов).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В соответствии с этим стимульным материалом испытуемым предлагались следующие задания:</w:t>
      </w:r>
      <w:r w:rsidRPr="006C679C">
        <w:rPr>
          <w:rFonts w:ascii="Times New Roman" w:hAnsi="Times New Roman" w:cs="Times New Roman"/>
          <w:sz w:val="28"/>
          <w:szCs w:val="28"/>
        </w:rPr>
        <w:br/>
      </w:r>
    </w:p>
    <w:p w:rsidR="006C679C" w:rsidRPr="006C679C" w:rsidRDefault="006C679C" w:rsidP="006C67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чтение названий цветов, напечатанных черным шрифтом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);</w:t>
      </w:r>
    </w:p>
    <w:p w:rsidR="006C679C" w:rsidRPr="006C679C" w:rsidRDefault="006C679C" w:rsidP="006C67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называние цветов (НЦ);</w:t>
      </w:r>
    </w:p>
    <w:p w:rsidR="006C679C" w:rsidRPr="006C679C" w:rsidRDefault="006C679C" w:rsidP="006C67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чтение названий цветов, где цвет шрифта отличается от значения слова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);</w:t>
      </w:r>
    </w:p>
    <w:p w:rsidR="006C679C" w:rsidRPr="006C679C" w:rsidRDefault="006C679C" w:rsidP="006C679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называние цвета слова, где цвет шрифта отличается от значения слова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НЦСо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).</w:t>
      </w:r>
    </w:p>
    <w:p w:rsidR="006C679C" w:rsidRDefault="006C679C" w:rsidP="006C679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br/>
        <w:t>Инструкция испытуемому состояла в том, чтобы он называл вслух цвета шрифта или читал слова на карте построчно слева направо по возможности быстро и без ошибок. В случае возникновения ошибки испытуемый исправлял ее самостоятельно, если замечал, или после указания экспериментатора.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Показателем эффективности выполнения задания служило среднее значение (по группе испытуемых) времени воспроизведения вслух всех стимулов карты (которых было обычно 100):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), t(НЦ),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 и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НЦСо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). Была обнаружена значительная интерференция, оказываемая несоответствующими значениями слов на называние цветов шрифта этих слов (t(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НЦСо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)&gt;&gt;t(НЦ)) — она носит теперь название эффекта Струпа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Stroop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Интерференционное влияние цветов шрифта на чтение слов, напротив, было незначительным (t(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)—t(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)). Струп также отмечал, что многодневная тренировка называния цветов шрифта слов снижает интерференционное влияние значения слова на цвет шрифта в соответствии с кривой обучения, однако увеличивает интерференционное влияние цвета шрифта на значение слова.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b/>
          <w:bCs/>
          <w:sz w:val="28"/>
          <w:szCs w:val="28"/>
        </w:rPr>
        <w:t>Модификации теста Струпа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В дальнейшем классический вариант эксперимента Струпа стал применяться уже в несколько преобразованных формах. Так,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Терстоун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(1944) для изучения восприятия использовал четыре слова и цвета («красный», </w:t>
      </w:r>
      <w:r w:rsidRPr="006C679C">
        <w:rPr>
          <w:rFonts w:ascii="Times New Roman" w:hAnsi="Times New Roman" w:cs="Times New Roman"/>
          <w:sz w:val="28"/>
          <w:szCs w:val="28"/>
        </w:rPr>
        <w:lastRenderedPageBreak/>
        <w:t xml:space="preserve">«зеленый», «синий» и «желтый»), черный фон карт, круги вместо квадратов на цветовых картах; Смит (1959) отказался от использования карты слов, а цветовую карту предложил заполнять не сплошными пятнами, а ‘X’-символами;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Дженсен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(1965) располагал стимулы на картах в случайном порядке, избегая повторений; Фрейзер (1963) создал дополнительную карту, на которой слова «черный», «желтый», «розовый» и «зеленый» были напечатаны шрифтом несоответствующих, но не конфликтных цветов: красного, коричневого, оранжевого и синего.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b/>
          <w:bCs/>
          <w:sz w:val="28"/>
          <w:szCs w:val="28"/>
        </w:rPr>
        <w:t>Объяснения эффекта Струпа</w:t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Сам Струп, анализируя полученные результаты, дал им следующее объяснение. «Те ассоциативные связи, которые были сформированы между словесными стимулами и реакцией чтения, являются, очевидно, более устойчивыми, чем те, которые были сформированы между цветовыми стимулами и реакцией называния. И если эти ассоциативные связи являются результатом тренировки, а различие в их силе примерно соответствует разнице в практическом использовании чтения слов и называния цветов, то вполне обоснованным выглядит заключение, согласно которому разница между скоростью чтения слов-названий цветов и скоростью называния цветов может быть весьма удовлетворительно объяснена различием степени тренированности этих двух действий. Словесный стимул ассоциативно связан с разнообразными реакциями: восхищением, называнием, достижением, избеганием и другими». Основанием для подобного заключения явились как результаты собственных экспериментов Струпа, так и те теоретические позиции, с которых проводились попытки дать объяснение факту доминирования в скорости процесса чтения слов над процессом называния соответствующих словам объектов. Джеймс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МакКин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, отметив этот интересный факт в 1886 году, дал ему удивительно современную и для сегодняшнего дня интерпретацию: «Это происходит потому, что в случае слов и букв ассоциация между идеей и названием имеет место настолько часто, что этот процесс происходит автоматически, тогда как в случае цветов и картинок мы должны произвольно и с усилием выбирать название». Интерпретация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, апеллирующая к понятиям автоматичности и произвольности оказала сильное влияние в разное время на многих психологов, среди которых можно отметить В. Джеймса (1890), М. Познера и К.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Снайдера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(1975), В. Шнейдера и Р.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Шиффрина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(1977).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Были и другие альтернативные взгляды на затронутую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Кеттеллом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проблему наряду с представлением об автоматическом характере процесса чтения слов и позицией о различии в тренированности чтения слов и называния цветов.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Холлингворт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(1915) предположил, что чтение слов требует только артикуляции, а называние цветов наряду с артикуляцией нуждается еще и в использовании ассоциаций.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Гарретт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Леммон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(1924) выражали мнение, что называние цвета происходит дольше из-за фактора интерференции, обусловленного множеством возможных вариантов ответа.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lastRenderedPageBreak/>
        <w:br/>
        <w:t>Существуют и более узкие объяснения интерференции, возникающие в основном в рамках тех частных исследований, где активно используется задача Струпа. Выше уже говорилось о том широком диапазоне проблем из различных областей психологии, для решения которых используется и эта задача. Однако ее применение наряду с методической составляющей часто несет в себе еще и попытку выявления лежащих в самой порождаемом задачей эффекте механизмов.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В 1965 году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Дженсен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подверг многочисленные показатели выполнения задачи Струпа, предложенные разными исследователями, факторному анализу. Результаты этого факторного анализа, основанные на тестировании 436 испытуемых, были вполне определенными, так что вращение основных осей по методу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варимакс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не внесло существенных изменений. Из всех показателей были выделены только три фактора, которые охватили почти 99% различий всех показателей. Первый фактор лучше всего обозначить как фактор цветовой трудности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difficulty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). Он наилучшим образом отражается такими показателями, как t(НЦ)/t(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),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)/t(НЦ), t(НЦ)+t(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), которые связаны с ним очень тесно (r = 0,99), а с другими двумя факторами не имеют значимой связи (r &lt; 0,05). Второй фактор можно определить как фактор интерференции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interference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). Он представлен показателем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НЦСо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)-t(НЦ), который имеет корреляционную связь с ним — r = 0,97, с первым фактором — r = 0,07 и с третьим фактором — r = 0,24. Третий фактор был обозначен как фактор скорости 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Терстоун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упоминал его как «индивидуальный темп». Он раскрывается через показатель t(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ЧНЦч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>), который имеет корреляционную связь с ним — r = 0,97, с первым фактором — r = -0,34, со вторым фактором — r = 0,06.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Таким образом, на основании полученных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Дженсеном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результатов можно сделать вывод о том, что, во-первых, использование в исследовании того или иного показателя затрагивает определенный (один из возможных, но не единственный) аспект процесса выполнения задачи Струпа, и что, во-вторых, задача Струпа и связанный с нею эффект представляют собой многомерный феномен, который невозможно полностью объяснить на основе представлений о некотором единственном механизме, как это делалось в прежних работах.</w:t>
      </w:r>
      <w:r w:rsidRPr="006C679C">
        <w:rPr>
          <w:rFonts w:ascii="Times New Roman" w:hAnsi="Times New Roman" w:cs="Times New Roman"/>
          <w:sz w:val="28"/>
          <w:szCs w:val="28"/>
        </w:rPr>
        <w:br/>
      </w:r>
    </w:p>
    <w:p w:rsidR="006C679C" w:rsidRDefault="006C679C" w:rsidP="006C67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</w:t>
      </w:r>
      <w:r w:rsidRPr="006C679C">
        <w:rPr>
          <w:rFonts w:ascii="Times New Roman" w:hAnsi="Times New Roman" w:cs="Times New Roman"/>
          <w:sz w:val="28"/>
          <w:szCs w:val="28"/>
        </w:rPr>
        <w:br/>
        <w:t>Испытуемому последовательно предъявляются три карты:</w:t>
      </w:r>
    </w:p>
    <w:p w:rsidR="006C679C" w:rsidRPr="006C679C" w:rsidRDefault="006C679C" w:rsidP="006C67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79C" w:rsidRPr="006C679C" w:rsidRDefault="006C679C" w:rsidP="006C679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На первой — сто слов, обозначающих названия четырех основных цветов (инструкция: как можно быстрее прочитать слова).</w:t>
      </w:r>
    </w:p>
    <w:p w:rsidR="006B1F13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61A67" wp14:editId="168F8F47">
            <wp:extent cx="5934075" cy="3404870"/>
            <wp:effectExtent l="0" t="0" r="9525" b="5080"/>
            <wp:docPr id="10" name="Рисунок 10" descr="C:\Users\KaMo.by Admin\Desktop\1449685812_stru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aMo.by Admin\Desktop\1449685812_strup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На второй — сто разноцветных звездочек тех же основных четырех цветов (инструкция: как можно быстрее назвать цвет звездочек).</w:t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71595"/>
            <wp:effectExtent l="0" t="0" r="9525" b="0"/>
            <wp:docPr id="11" name="Рисунок 11" descr="C:\Users\KaMo.by Admin\Desktop\1449685873_stru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aMo.by Admin\Desktop\1449685873_strup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На третьей — сто названий цветов, не соответствующих цвету чернил, которыми написано данное слово. Например, слово «красный» написано </w:t>
      </w:r>
      <w:r w:rsidRPr="006C679C">
        <w:rPr>
          <w:rFonts w:ascii="Times New Roman" w:hAnsi="Times New Roman" w:cs="Times New Roman"/>
          <w:sz w:val="28"/>
          <w:szCs w:val="28"/>
        </w:rPr>
        <w:lastRenderedPageBreak/>
        <w:t>желтыми чернилами, слово «синий» — зелеными и т. д. (инструкция: как можно быстрее назвать цвет, которым написано каждое слово).</w:t>
      </w:r>
    </w:p>
    <w:p w:rsid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94710"/>
            <wp:effectExtent l="0" t="0" r="9525" b="0"/>
            <wp:docPr id="13" name="Рисунок 13" descr="C:\Users\KaMo.by Admin\Desktop\1449685753_stru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Mo.by Admin\Desktop\1449685753_strup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9C" w:rsidRPr="006C679C" w:rsidRDefault="006C679C" w:rsidP="006C67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79C">
        <w:rPr>
          <w:rFonts w:ascii="Times New Roman" w:hAnsi="Times New Roman" w:cs="Times New Roman"/>
          <w:b/>
          <w:bCs/>
          <w:sz w:val="28"/>
          <w:szCs w:val="28"/>
        </w:rPr>
        <w:t>Обработка и интерпретация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Показатель ригидности/гибкости контроля: разница во времени выполнения третьей (цветные слова) и второй (цвет) карт в виде Т3 - Т2. Чем больше эта разница, тем больше выражен эффект интерференции и, соответственно, более выражена ригидность (узость, жесткость) познавательного контроля.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>Как можно видеть, интерференция в данном случае является результатом конфликта словесно-речевых (вербальных) и сенсорно-перцептивных функций: испытуемый должен игнорировать (подавлять) значение слова и назвать цвет, который он видит. Низкая интерференция говорит о способности тормозить более сильные по своей природе вербальные функции ради восприятия цвета, высокая — о том, что испытуемый с трудом освобождается от влияния значения слова при его несоответствии наглядному впечатлению.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  <w:t xml:space="preserve">Методика Струпа позволяет получить дополнительный показатель «вербальности», предложенный Д.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Броверманом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. Он определяется как соотношение времени выполнения второй (цвет) и первой (слова) карт в виде Т2/Т1. Высокие значения этого показателя свидетельствуют о преобладании словесного способа переработки информации, низкие — сенсорно-перцептивного. Показатель интерференции </w:t>
      </w:r>
      <w:proofErr w:type="spellStart"/>
      <w:r w:rsidRPr="006C679C">
        <w:rPr>
          <w:rFonts w:ascii="Times New Roman" w:hAnsi="Times New Roman" w:cs="Times New Roman"/>
          <w:sz w:val="28"/>
          <w:szCs w:val="28"/>
        </w:rPr>
        <w:t>Броверман</w:t>
      </w:r>
      <w:proofErr w:type="spellEnd"/>
      <w:r w:rsidRPr="006C679C">
        <w:rPr>
          <w:rFonts w:ascii="Times New Roman" w:hAnsi="Times New Roman" w:cs="Times New Roman"/>
          <w:sz w:val="28"/>
          <w:szCs w:val="28"/>
        </w:rPr>
        <w:t xml:space="preserve"> интерпретирует как меру автоматизации познавательных функций (степень их независимого функционирования).</w:t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br/>
      </w:r>
      <w:r w:rsidRPr="006C679C">
        <w:rPr>
          <w:rFonts w:ascii="Times New Roman" w:hAnsi="Times New Roman" w:cs="Times New Roman"/>
          <w:sz w:val="28"/>
          <w:szCs w:val="28"/>
        </w:rPr>
        <w:lastRenderedPageBreak/>
        <w:t>Таким образом, один полюс этого когнитивного стиля характеризует гибкий контроль и сильную автоматизацию познавательных функций, другой — ригидный (жесткий) контроль и слабую автоматизацию познавательных функций.</w:t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br/>
      </w: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9C" w:rsidRPr="006C679C" w:rsidRDefault="006C679C" w:rsidP="006C6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79C" w:rsidRPr="006C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75B"/>
    <w:multiLevelType w:val="multilevel"/>
    <w:tmpl w:val="7F4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12783"/>
    <w:multiLevelType w:val="multilevel"/>
    <w:tmpl w:val="32B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A08"/>
    <w:multiLevelType w:val="multilevel"/>
    <w:tmpl w:val="A24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76"/>
    <w:rsid w:val="005F4276"/>
    <w:rsid w:val="006B1F13"/>
    <w:rsid w:val="006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6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173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1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1518</Words>
  <Characters>8658</Characters>
  <Application>Microsoft Office Word</Application>
  <DocSecurity>0</DocSecurity>
  <Lines>72</Lines>
  <Paragraphs>20</Paragraphs>
  <ScaleCrop>false</ScaleCrop>
  <Company>Torrents.by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KaMo.by Admin</cp:lastModifiedBy>
  <cp:revision>2</cp:revision>
  <dcterms:created xsi:type="dcterms:W3CDTF">2019-02-28T09:58:00Z</dcterms:created>
  <dcterms:modified xsi:type="dcterms:W3CDTF">2019-02-28T10:07:00Z</dcterms:modified>
</cp:coreProperties>
</file>