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FE" w:rsidRPr="00D477FE" w:rsidRDefault="00D477FE" w:rsidP="00D477FE">
      <w:pPr>
        <w:pStyle w:val="ql-align-justify"/>
        <w:spacing w:before="0" w:beforeAutospacing="0" w:after="0" w:afterAutospacing="0"/>
        <w:jc w:val="both"/>
        <w:rPr>
          <w:sz w:val="28"/>
          <w:szCs w:val="28"/>
        </w:rPr>
      </w:pPr>
      <w:bookmarkStart w:id="0" w:name="_GoBack"/>
      <w:r w:rsidRPr="00D477FE">
        <w:rPr>
          <w:rStyle w:val="a3"/>
          <w:sz w:val="28"/>
          <w:szCs w:val="28"/>
        </w:rPr>
        <w:t>Статья 16. Соучастие в преступлении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Соучастием в преступлении признается умышленное совместное участие двух или более лиц в совершении умышленного преступления.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Соучастниками преступления наряду с исполнителями признаются организаторы, подстрекатели и пособники.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5. Подстрекателем признается лицо, склонившее другое лицо к совершению преступления.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xml:space="preserve">7. Ответственность организатора, подстрекателя и пособника наступает по той же статье </w:t>
      </w:r>
      <w:hyperlink r:id="rId4" w:anchor="sub_id=1220000" w:tgtFrame="_blank" w:history="1">
        <w:r w:rsidRPr="00D477FE">
          <w:rPr>
            <w:rStyle w:val="a4"/>
            <w:sz w:val="28"/>
            <w:szCs w:val="28"/>
          </w:rPr>
          <w:t>Особенной части</w:t>
        </w:r>
      </w:hyperlink>
      <w:r w:rsidRPr="00D477FE">
        <w:rPr>
          <w:sz w:val="28"/>
          <w:szCs w:val="28"/>
        </w:rPr>
        <w:t xml:space="preserve">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9. Соучастники несут повышенную ответственность, если преступление совершено группой лиц, непосредственно принявших участие в его совершении (</w:t>
      </w:r>
      <w:proofErr w:type="spellStart"/>
      <w:r w:rsidRPr="00D477FE">
        <w:rPr>
          <w:sz w:val="28"/>
          <w:szCs w:val="28"/>
        </w:rPr>
        <w:t>соисполнительство</w:t>
      </w:r>
      <w:proofErr w:type="spellEnd"/>
      <w:r w:rsidRPr="00D477FE">
        <w:rPr>
          <w:sz w:val="28"/>
          <w:szCs w:val="28"/>
        </w:rPr>
        <w:t>),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w:t>
      </w:r>
    </w:p>
    <w:p w:rsidR="00D477FE" w:rsidRPr="00D477FE" w:rsidRDefault="00D477FE" w:rsidP="00D477FE">
      <w:pPr>
        <w:pStyle w:val="ql-align-justify"/>
        <w:spacing w:before="0" w:beforeAutospacing="0" w:after="0" w:afterAutospacing="0"/>
        <w:jc w:val="both"/>
        <w:rPr>
          <w:sz w:val="28"/>
          <w:szCs w:val="28"/>
        </w:rPr>
      </w:pPr>
      <w:r w:rsidRPr="00D477FE">
        <w:rPr>
          <w:rStyle w:val="a3"/>
          <w:sz w:val="28"/>
          <w:szCs w:val="28"/>
        </w:rPr>
        <w:t>Статья 17. Совершение преступления группой</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w:t>
      </w:r>
      <w:proofErr w:type="spellStart"/>
      <w:r w:rsidRPr="00D477FE">
        <w:rPr>
          <w:sz w:val="28"/>
          <w:szCs w:val="28"/>
        </w:rPr>
        <w:t>соисполнительство</w:t>
      </w:r>
      <w:proofErr w:type="spellEnd"/>
      <w:r w:rsidRPr="00D477FE">
        <w:rPr>
          <w:sz w:val="28"/>
          <w:szCs w:val="28"/>
        </w:rPr>
        <w:t>).</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w:t>
      </w:r>
      <w:r w:rsidRPr="00D477FE">
        <w:rPr>
          <w:rStyle w:val="a3"/>
          <w:sz w:val="28"/>
          <w:szCs w:val="28"/>
        </w:rPr>
        <w:t> </w:t>
      </w:r>
    </w:p>
    <w:p w:rsidR="00D477FE" w:rsidRPr="00D477FE" w:rsidRDefault="00D477FE" w:rsidP="00D477FE">
      <w:pPr>
        <w:pStyle w:val="ql-align-justify"/>
        <w:spacing w:before="0" w:beforeAutospacing="0" w:after="0" w:afterAutospacing="0"/>
        <w:jc w:val="both"/>
        <w:rPr>
          <w:sz w:val="28"/>
          <w:szCs w:val="28"/>
        </w:rPr>
      </w:pPr>
      <w:r w:rsidRPr="00D477FE">
        <w:rPr>
          <w:rStyle w:val="a3"/>
          <w:sz w:val="28"/>
          <w:szCs w:val="28"/>
        </w:rPr>
        <w:t>Статья 18. Организованная группа</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w:t>
      </w:r>
    </w:p>
    <w:p w:rsidR="00D477FE" w:rsidRPr="00D477FE" w:rsidRDefault="00D477FE" w:rsidP="00D477FE">
      <w:pPr>
        <w:pStyle w:val="ql-align-justify"/>
        <w:spacing w:before="0" w:beforeAutospacing="0" w:after="0" w:afterAutospacing="0"/>
        <w:jc w:val="both"/>
        <w:rPr>
          <w:sz w:val="28"/>
          <w:szCs w:val="28"/>
        </w:rPr>
      </w:pPr>
      <w:r w:rsidRPr="00D477FE">
        <w:rPr>
          <w:rStyle w:val="a3"/>
          <w:sz w:val="28"/>
          <w:szCs w:val="28"/>
        </w:rPr>
        <w:t>Статья 63. Обстоятельства, смягчающие ответственность</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Обстоятельствами, смягчающими ответственность, признаются: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lastRenderedPageBreak/>
        <w:t>1) явка с повинной;</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чистосердечное раскаяние в совершенном преступлении;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5) наличие на иждивении у виновного малолетнего ребенка;</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6) совершение преступления вследствие стечения тяжелых личных, семейных или иных обстоятельств;</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7) совершение преступления под влиянием угрозы или принуждения либо в силу материальной, служебной или иной зависимости;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8) совершение преступления под влиянием противоправных или аморальных действий потерпевшего;</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10) совершение преступления беременной женщиной;</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11) совершение преступления престарелым лицом.</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Суд может признать смягчающими ответственность и иные обстоятельства, не указанные в настоящей статье.</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xml:space="preserve">3. Смягчающее обстоятельство, предусмотренное статьей </w:t>
      </w:r>
      <w:hyperlink r:id="rId5" w:anchor="sub_id=1220000" w:tgtFrame="_blank" w:history="1">
        <w:r w:rsidRPr="00D477FE">
          <w:rPr>
            <w:rStyle w:val="a4"/>
            <w:sz w:val="28"/>
            <w:szCs w:val="28"/>
          </w:rPr>
          <w:t>Особенной части</w:t>
        </w:r>
      </w:hyperlink>
      <w:r w:rsidRPr="00D477FE">
        <w:rPr>
          <w:sz w:val="28"/>
          <w:szCs w:val="28"/>
        </w:rPr>
        <w:t xml:space="preserve"> настоящего Кодекса в качестве признака преступления, не может учитываться при определении меры ответственности виновного.</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w:t>
      </w:r>
    </w:p>
    <w:p w:rsidR="00D477FE" w:rsidRPr="00D477FE" w:rsidRDefault="00D477FE" w:rsidP="00D477FE">
      <w:pPr>
        <w:pStyle w:val="ql-align-justify"/>
        <w:spacing w:before="0" w:beforeAutospacing="0" w:after="0" w:afterAutospacing="0"/>
        <w:jc w:val="both"/>
        <w:rPr>
          <w:sz w:val="28"/>
          <w:szCs w:val="28"/>
        </w:rPr>
      </w:pPr>
      <w:r w:rsidRPr="00D477FE">
        <w:rPr>
          <w:rStyle w:val="a3"/>
          <w:sz w:val="28"/>
          <w:szCs w:val="28"/>
        </w:rPr>
        <w:t>Статья 64. Обстоятельства, отягчающие ответственность</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Обстоятельствами, отягчающими ответственность, признаются: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совершение преступления в отношении заведомо малолетнего, престарелого или лица, находящегося в беспомощном состоянии;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3) совершение преступления в отношении заведомо для виновного беременной женщины;</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xml:space="preserve">4) совершение преступления </w:t>
      </w:r>
      <w:proofErr w:type="spellStart"/>
      <w:r w:rsidRPr="00D477FE">
        <w:rPr>
          <w:sz w:val="28"/>
          <w:szCs w:val="28"/>
        </w:rPr>
        <w:t>общеопасным</w:t>
      </w:r>
      <w:proofErr w:type="spellEnd"/>
      <w:r w:rsidRPr="00D477FE">
        <w:rPr>
          <w:sz w:val="28"/>
          <w:szCs w:val="28"/>
        </w:rPr>
        <w:t xml:space="preserve"> способом;</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5) совершение преступления с особой жестокостью или издевательством;</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6) совершение преступления в отношении лица, находящегося в материальной, служебной или иной зависимости от виновного;</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8) совершение преступления из корыстных или иных низменных побуждений;</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10) совершение преступления с целью скрыть другое преступление или облегчить его совершение;</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11) совершение преступления группой лиц по предварительному сговору, организованной группой или преступной организацией;</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12) совершение преступления лицом, нарушившим тем самым принятую им присягу или профессиональную клятву;</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13) совершение преступления, повлекшего тяжкие последствия;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15) совершение преступления с использованием условий общественного бедствия или чрезвычайного положения;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16) совершение преступления по неосторожности вследствие сознательного нарушения установленных правил безопасности;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Суд не может признать отягчающими обстоятельства, не указанные в настоящей статье.</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xml:space="preserve">3. Отягчающее обстоятельство, предусмотренное статьей </w:t>
      </w:r>
      <w:hyperlink r:id="rId6" w:anchor="sub_id=1220000" w:tgtFrame="_blank" w:history="1">
        <w:r w:rsidRPr="00D477FE">
          <w:rPr>
            <w:rStyle w:val="a4"/>
            <w:sz w:val="28"/>
            <w:szCs w:val="28"/>
          </w:rPr>
          <w:t>Особенной части</w:t>
        </w:r>
      </w:hyperlink>
      <w:r w:rsidRPr="00D477FE">
        <w:rPr>
          <w:sz w:val="28"/>
          <w:szCs w:val="28"/>
        </w:rPr>
        <w:t xml:space="preserve"> настоящего Кодекса в качестве признака преступления, не может учитываться при определении меры ответственности виновного.</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w:t>
      </w:r>
    </w:p>
    <w:p w:rsidR="00D477FE" w:rsidRPr="00D477FE" w:rsidRDefault="00D477FE" w:rsidP="00D477FE">
      <w:pPr>
        <w:pStyle w:val="ql-align-justify"/>
        <w:spacing w:before="0" w:beforeAutospacing="0" w:after="0" w:afterAutospacing="0"/>
        <w:jc w:val="both"/>
        <w:rPr>
          <w:sz w:val="28"/>
          <w:szCs w:val="28"/>
        </w:rPr>
      </w:pPr>
      <w:r w:rsidRPr="00D477FE">
        <w:rPr>
          <w:rStyle w:val="a3"/>
          <w:sz w:val="28"/>
          <w:szCs w:val="28"/>
        </w:rPr>
        <w:t>Статья 65. Назначение наказания при рецидиве преступлений</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xml:space="preserve">3. При наличии исключительных обстоятельств, предусмотренных </w:t>
      </w:r>
      <w:hyperlink r:id="rId7" w:anchor="sub_id=700000" w:tgtFrame="_blank" w:history="1">
        <w:r w:rsidRPr="00D477FE">
          <w:rPr>
            <w:rStyle w:val="a4"/>
            <w:sz w:val="28"/>
            <w:szCs w:val="28"/>
          </w:rPr>
          <w:t>статьей 70</w:t>
        </w:r>
      </w:hyperlink>
      <w:r w:rsidRPr="00D477FE">
        <w:rPr>
          <w:sz w:val="28"/>
          <w:szCs w:val="28"/>
        </w:rPr>
        <w:t xml:space="preserve">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частью 2 настоящей статьи.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w:t>
      </w:r>
    </w:p>
    <w:p w:rsidR="00D477FE" w:rsidRPr="00D477FE" w:rsidRDefault="00D477FE" w:rsidP="00D477FE">
      <w:pPr>
        <w:pStyle w:val="ql-align-justify"/>
        <w:spacing w:before="0" w:beforeAutospacing="0" w:after="0" w:afterAutospacing="0"/>
        <w:jc w:val="both"/>
        <w:rPr>
          <w:sz w:val="28"/>
          <w:szCs w:val="28"/>
        </w:rPr>
      </w:pPr>
      <w:r w:rsidRPr="00D477FE">
        <w:rPr>
          <w:rStyle w:val="a3"/>
          <w:sz w:val="28"/>
          <w:szCs w:val="28"/>
        </w:rPr>
        <w:t>Статья 66. Назначение наказания за преступление, совершенное в соучастии</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1. При назначении наказания за преступление, совершенное в соучастии, учитываются характер и степень участия в нем каждого из соучастников.</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xml:space="preserve">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w:t>
      </w:r>
      <w:hyperlink r:id="rId8" w:anchor="sub_id=1220000" w:tgtFrame="_blank" w:history="1">
        <w:r w:rsidRPr="00D477FE">
          <w:rPr>
            <w:rStyle w:val="a4"/>
            <w:sz w:val="28"/>
            <w:szCs w:val="28"/>
          </w:rPr>
          <w:t>Особенной части</w:t>
        </w:r>
      </w:hyperlink>
      <w:r w:rsidRPr="00D477FE">
        <w:rPr>
          <w:sz w:val="28"/>
          <w:szCs w:val="28"/>
        </w:rPr>
        <w:t xml:space="preserve"> настоящего Кодекса.</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 xml:space="preserve">3. 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w:t>
      </w:r>
      <w:proofErr w:type="gramStart"/>
      <w:r w:rsidRPr="00D477FE">
        <w:rPr>
          <w:sz w:val="28"/>
          <w:szCs w:val="28"/>
        </w:rPr>
        <w:t>интересам</w:t>
      </w:r>
      <w:proofErr w:type="gramEnd"/>
      <w:r w:rsidRPr="00D477FE">
        <w:rPr>
          <w:sz w:val="28"/>
          <w:szCs w:val="28"/>
        </w:rPr>
        <w:t xml:space="preserve">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rsidR="00D477FE" w:rsidRPr="00D477FE" w:rsidRDefault="00D477FE" w:rsidP="00D477FE">
      <w:pPr>
        <w:pStyle w:val="ql-align-justify"/>
        <w:spacing w:before="0" w:beforeAutospacing="0" w:after="0" w:afterAutospacing="0"/>
        <w:jc w:val="both"/>
        <w:rPr>
          <w:sz w:val="28"/>
          <w:szCs w:val="28"/>
        </w:rPr>
      </w:pPr>
      <w:r w:rsidRPr="00D477FE">
        <w:rPr>
          <w:sz w:val="28"/>
          <w:szCs w:val="28"/>
        </w:rPr>
        <w:t>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частью 2 настоящей статьи.</w:t>
      </w:r>
    </w:p>
    <w:bookmarkEnd w:id="0"/>
    <w:p w:rsidR="00920072" w:rsidRPr="00D477FE" w:rsidRDefault="00920072" w:rsidP="00D477FE">
      <w:pPr>
        <w:spacing w:after="0" w:line="240" w:lineRule="auto"/>
        <w:jc w:val="both"/>
        <w:rPr>
          <w:rFonts w:cs="Times New Roman"/>
          <w:sz w:val="28"/>
          <w:szCs w:val="28"/>
        </w:rPr>
      </w:pPr>
    </w:p>
    <w:sectPr w:rsidR="00920072" w:rsidRPr="00D477FE" w:rsidSect="00287DC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42"/>
    <w:rsid w:val="00143521"/>
    <w:rsid w:val="00287DC0"/>
    <w:rsid w:val="00375715"/>
    <w:rsid w:val="008E1F42"/>
    <w:rsid w:val="00920072"/>
    <w:rsid w:val="00D4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B780E-C884-4987-A21B-32664A3E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8E1F42"/>
    <w:pPr>
      <w:spacing w:before="100" w:beforeAutospacing="1" w:after="100" w:afterAutospacing="1" w:line="240" w:lineRule="auto"/>
    </w:pPr>
    <w:rPr>
      <w:rFonts w:eastAsia="Times New Roman" w:cs="Times New Roman"/>
      <w:szCs w:val="24"/>
      <w:lang w:eastAsia="ru-RU"/>
    </w:rPr>
  </w:style>
  <w:style w:type="character" w:styleId="a3">
    <w:name w:val="Strong"/>
    <w:basedOn w:val="a0"/>
    <w:uiPriority w:val="22"/>
    <w:qFormat/>
    <w:rsid w:val="008E1F42"/>
    <w:rPr>
      <w:b/>
      <w:bCs/>
    </w:rPr>
  </w:style>
  <w:style w:type="character" w:styleId="a4">
    <w:name w:val="Hyperlink"/>
    <w:basedOn w:val="a0"/>
    <w:uiPriority w:val="99"/>
    <w:semiHidden/>
    <w:unhideWhenUsed/>
    <w:rsid w:val="008E1F42"/>
    <w:rPr>
      <w:color w:val="0000FF"/>
      <w:u w:val="single"/>
    </w:rPr>
  </w:style>
  <w:style w:type="paragraph" w:styleId="a5">
    <w:name w:val="Normal (Web)"/>
    <w:basedOn w:val="a"/>
    <w:uiPriority w:val="99"/>
    <w:semiHidden/>
    <w:unhideWhenUsed/>
    <w:rsid w:val="008E1F42"/>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5150">
      <w:bodyDiv w:val="1"/>
      <w:marLeft w:val="0"/>
      <w:marRight w:val="0"/>
      <w:marTop w:val="0"/>
      <w:marBottom w:val="0"/>
      <w:divBdr>
        <w:top w:val="none" w:sz="0" w:space="0" w:color="auto"/>
        <w:left w:val="none" w:sz="0" w:space="0" w:color="auto"/>
        <w:bottom w:val="none" w:sz="0" w:space="0" w:color="auto"/>
        <w:right w:val="none" w:sz="0" w:space="0" w:color="auto"/>
      </w:divBdr>
    </w:div>
    <w:div w:id="1556240060">
      <w:bodyDiv w:val="1"/>
      <w:marLeft w:val="0"/>
      <w:marRight w:val="0"/>
      <w:marTop w:val="0"/>
      <w:marBottom w:val="0"/>
      <w:divBdr>
        <w:top w:val="none" w:sz="0" w:space="0" w:color="auto"/>
        <w:left w:val="none" w:sz="0" w:space="0" w:color="auto"/>
        <w:bottom w:val="none" w:sz="0" w:space="0" w:color="auto"/>
        <w:right w:val="none" w:sz="0" w:space="0" w:color="auto"/>
      </w:divBdr>
      <w:divsChild>
        <w:div w:id="894198086">
          <w:marLeft w:val="0"/>
          <w:marRight w:val="0"/>
          <w:marTop w:val="0"/>
          <w:marBottom w:val="0"/>
          <w:divBdr>
            <w:top w:val="none" w:sz="0" w:space="0" w:color="auto"/>
            <w:left w:val="none" w:sz="0" w:space="0" w:color="auto"/>
            <w:bottom w:val="none" w:sz="0" w:space="0" w:color="auto"/>
            <w:right w:val="none" w:sz="0" w:space="0" w:color="auto"/>
          </w:divBdr>
          <w:divsChild>
            <w:div w:id="33583320">
              <w:marLeft w:val="0"/>
              <w:marRight w:val="0"/>
              <w:marTop w:val="0"/>
              <w:marBottom w:val="0"/>
              <w:divBdr>
                <w:top w:val="none" w:sz="0" w:space="0" w:color="auto"/>
                <w:left w:val="none" w:sz="0" w:space="0" w:color="auto"/>
                <w:bottom w:val="none" w:sz="0" w:space="0" w:color="auto"/>
                <w:right w:val="none" w:sz="0" w:space="0" w:color="auto"/>
              </w:divBdr>
              <w:divsChild>
                <w:div w:id="1066682086">
                  <w:marLeft w:val="0"/>
                  <w:marRight w:val="0"/>
                  <w:marTop w:val="0"/>
                  <w:marBottom w:val="0"/>
                  <w:divBdr>
                    <w:top w:val="none" w:sz="0" w:space="0" w:color="auto"/>
                    <w:left w:val="none" w:sz="0" w:space="0" w:color="auto"/>
                    <w:bottom w:val="none" w:sz="0" w:space="0" w:color="auto"/>
                    <w:right w:val="none" w:sz="0" w:space="0" w:color="auto"/>
                  </w:divBdr>
                  <w:divsChild>
                    <w:div w:id="15897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inent-online.com/Document/?doc_id=30414984" TargetMode="External"/><Relationship Id="rId3" Type="http://schemas.openxmlformats.org/officeDocument/2006/relationships/webSettings" Target="webSettings.xml"/><Relationship Id="rId7" Type="http://schemas.openxmlformats.org/officeDocument/2006/relationships/hyperlink" Target="http://continent-online.com/Document/?doc_id=304149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tinent-online.com/Document/?doc_id=30414984" TargetMode="External"/><Relationship Id="rId5" Type="http://schemas.openxmlformats.org/officeDocument/2006/relationships/hyperlink" Target="http://continent-online.com/Document/?doc_id=30414984" TargetMode="External"/><Relationship Id="rId10" Type="http://schemas.openxmlformats.org/officeDocument/2006/relationships/theme" Target="theme/theme1.xml"/><Relationship Id="rId4" Type="http://schemas.openxmlformats.org/officeDocument/2006/relationships/hyperlink" Target="http://continent-online.com/Document/?doc_id=3041498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2024-12-16T18:20:00Z</dcterms:created>
  <dcterms:modified xsi:type="dcterms:W3CDTF">2024-12-16T18:20:00Z</dcterms:modified>
</cp:coreProperties>
</file>