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fill lighten(0)" method="linear sigma" focus="100%" type="gradient"/>
    </v:background>
  </w:background>
  <w:body>
    <w:p w:rsidR="00764CC8" w:rsidRPr="00AA4915" w:rsidRDefault="00764CC8" w:rsidP="00AA4915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AA4915">
        <w:rPr>
          <w:rFonts w:ascii="Comic Sans MS" w:hAnsi="Comic Sans MS" w:cs="Times New Roman"/>
          <w:b/>
          <w:sz w:val="24"/>
          <w:szCs w:val="24"/>
          <w:u w:val="single"/>
        </w:rPr>
        <w:t>Область применения военных знаний</w:t>
      </w:r>
    </w:p>
    <w:p w:rsidR="00764CC8" w:rsidRPr="00892925" w:rsidRDefault="00764CC8" w:rsidP="00764CC8">
      <w:pPr>
        <w:pStyle w:val="a7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892925">
        <w:rPr>
          <w:rFonts w:ascii="Comic Sans MS" w:hAnsi="Comic Sans MS" w:cs="Times New Roman"/>
          <w:b/>
          <w:sz w:val="24"/>
          <w:szCs w:val="24"/>
        </w:rPr>
        <w:t>военные организации</w:t>
      </w:r>
    </w:p>
    <w:p w:rsidR="00764CC8" w:rsidRPr="00892925" w:rsidRDefault="00764CC8" w:rsidP="00764CC8">
      <w:pPr>
        <w:pStyle w:val="a7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892925">
        <w:rPr>
          <w:rFonts w:ascii="Comic Sans MS" w:hAnsi="Comic Sans MS" w:cs="Times New Roman"/>
          <w:b/>
          <w:sz w:val="24"/>
          <w:szCs w:val="24"/>
        </w:rPr>
        <w:t>научно-исследовательская деятельность</w:t>
      </w:r>
    </w:p>
    <w:p w:rsidR="00764CC8" w:rsidRPr="00892925" w:rsidRDefault="00764CC8" w:rsidP="00764CC8">
      <w:pPr>
        <w:pStyle w:val="a7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892925">
        <w:rPr>
          <w:rFonts w:ascii="Comic Sans MS" w:hAnsi="Comic Sans MS" w:cs="Times New Roman"/>
          <w:b/>
          <w:sz w:val="24"/>
          <w:szCs w:val="24"/>
        </w:rPr>
        <w:t>преподавательская деятель</w:t>
      </w:r>
      <w:r w:rsidR="00AA4915" w:rsidRPr="00892925">
        <w:rPr>
          <w:rFonts w:ascii="Comic Sans MS" w:hAnsi="Comic Sans MS" w:cs="Times New Roman"/>
          <w:b/>
          <w:sz w:val="24"/>
          <w:szCs w:val="24"/>
        </w:rPr>
        <w:t>но</w:t>
      </w:r>
      <w:r w:rsidRPr="00892925">
        <w:rPr>
          <w:rFonts w:ascii="Comic Sans MS" w:hAnsi="Comic Sans MS" w:cs="Times New Roman"/>
          <w:b/>
          <w:sz w:val="24"/>
          <w:szCs w:val="24"/>
        </w:rPr>
        <w:t>сть</w:t>
      </w:r>
    </w:p>
    <w:p w:rsidR="00764CC8" w:rsidRPr="00892925" w:rsidRDefault="00AA4915" w:rsidP="00764CC8">
      <w:pPr>
        <w:pStyle w:val="a7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892925">
        <w:rPr>
          <w:rFonts w:ascii="Comic Sans MS" w:hAnsi="Comic Sans MS" w:cs="Times New Roman"/>
          <w:b/>
          <w:sz w:val="24"/>
          <w:szCs w:val="24"/>
        </w:rPr>
        <w:t>военные гарнизоны, части, подразделения.</w:t>
      </w:r>
    </w:p>
    <w:p w:rsidR="00AA4915" w:rsidRPr="00892925" w:rsidRDefault="00AA4915" w:rsidP="00AA4915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892925">
        <w:rPr>
          <w:rFonts w:ascii="Comic Sans MS" w:hAnsi="Comic Sans MS" w:cs="Times New Roman"/>
          <w:b/>
          <w:sz w:val="24"/>
          <w:szCs w:val="24"/>
          <w:u w:val="single"/>
        </w:rPr>
        <w:t>Виды деятельности</w:t>
      </w:r>
    </w:p>
    <w:p w:rsidR="00892925" w:rsidRPr="00892925" w:rsidRDefault="00AA4915" w:rsidP="00892925">
      <w:pPr>
        <w:pStyle w:val="a7"/>
        <w:numPr>
          <w:ilvl w:val="0"/>
          <w:numId w:val="12"/>
        </w:numPr>
        <w:spacing w:after="0"/>
        <w:rPr>
          <w:rFonts w:ascii="Comic Sans MS" w:hAnsi="Comic Sans MS" w:cs="Times New Roman"/>
          <w:b/>
          <w:sz w:val="24"/>
          <w:szCs w:val="24"/>
        </w:rPr>
      </w:pPr>
      <w:r w:rsidRPr="00892925">
        <w:rPr>
          <w:rFonts w:ascii="Comic Sans MS" w:hAnsi="Comic Sans MS" w:cs="Times New Roman"/>
          <w:b/>
          <w:sz w:val="24"/>
          <w:szCs w:val="24"/>
        </w:rPr>
        <w:t>принимает решения о необходимости</w:t>
      </w:r>
      <w:bookmarkStart w:id="0" w:name="_GoBack"/>
      <w:bookmarkEnd w:id="0"/>
      <w:r w:rsidR="00892925" w:rsidRPr="00892925">
        <w:rPr>
          <w:rFonts w:ascii="Comic Sans MS" w:hAnsi="Comic Sans MS" w:cs="Times New Roman"/>
          <w:b/>
          <w:sz w:val="24"/>
          <w:szCs w:val="24"/>
        </w:rPr>
        <w:t xml:space="preserve"> военных действий</w:t>
      </w:r>
    </w:p>
    <w:p w:rsidR="00892925" w:rsidRPr="00892925" w:rsidRDefault="00892925" w:rsidP="00892925">
      <w:pPr>
        <w:pStyle w:val="a7"/>
        <w:numPr>
          <w:ilvl w:val="0"/>
          <w:numId w:val="12"/>
        </w:numPr>
        <w:spacing w:after="0"/>
        <w:rPr>
          <w:rFonts w:ascii="Gabriola" w:hAnsi="Gabriola" w:cs="Times New Roman"/>
          <w:b/>
          <w:sz w:val="24"/>
          <w:szCs w:val="24"/>
        </w:rPr>
      </w:pPr>
      <w:r w:rsidRPr="00892925">
        <w:rPr>
          <w:rFonts w:ascii="Comic Sans MS" w:hAnsi="Comic Sans MS" w:cs="Times New Roman"/>
          <w:b/>
          <w:sz w:val="24"/>
          <w:szCs w:val="24"/>
        </w:rPr>
        <w:t>представляет своё подразделение на официальных мероприятиях</w:t>
      </w:r>
    </w:p>
    <w:p w:rsidR="00892925" w:rsidRPr="00892925" w:rsidRDefault="00892925" w:rsidP="00892925">
      <w:pPr>
        <w:pStyle w:val="a7"/>
        <w:numPr>
          <w:ilvl w:val="0"/>
          <w:numId w:val="12"/>
        </w:numPr>
        <w:spacing w:after="0"/>
        <w:rPr>
          <w:rFonts w:ascii="Gabriola" w:hAnsi="Gabriola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принимает решения и отдаёт приказы подчинённым</w:t>
      </w:r>
    </w:p>
    <w:p w:rsidR="00892925" w:rsidRPr="00892925" w:rsidRDefault="00892925" w:rsidP="00892925">
      <w:pPr>
        <w:pStyle w:val="a7"/>
        <w:numPr>
          <w:ilvl w:val="0"/>
          <w:numId w:val="12"/>
        </w:numPr>
        <w:spacing w:after="0"/>
        <w:rPr>
          <w:rFonts w:ascii="Gabriola" w:hAnsi="Gabriola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неукоснительно соблюдает закон и устав во всех операциях</w:t>
      </w:r>
    </w:p>
    <w:p w:rsidR="00892925" w:rsidRPr="00892925" w:rsidRDefault="00892925" w:rsidP="00892925">
      <w:pPr>
        <w:pStyle w:val="a7"/>
        <w:numPr>
          <w:ilvl w:val="0"/>
          <w:numId w:val="12"/>
        </w:numPr>
        <w:spacing w:after="0"/>
        <w:rPr>
          <w:rFonts w:ascii="Gabriola" w:hAnsi="Gabriola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анализирует факты, чтобы предвидит возможную опасность</w:t>
      </w:r>
    </w:p>
    <w:p w:rsidR="00892925" w:rsidRPr="00892925" w:rsidRDefault="00892925" w:rsidP="00892925">
      <w:pPr>
        <w:pStyle w:val="a7"/>
        <w:numPr>
          <w:ilvl w:val="0"/>
          <w:numId w:val="12"/>
        </w:numPr>
        <w:spacing w:after="0"/>
        <w:rPr>
          <w:rFonts w:ascii="Gabriola" w:hAnsi="Gabriola" w:cs="Times New Roman"/>
          <w:b/>
          <w:sz w:val="24"/>
          <w:szCs w:val="24"/>
        </w:rPr>
      </w:pPr>
      <w:r>
        <w:rPr>
          <w:rFonts w:ascii="Gabriola" w:hAnsi="Gabriola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67310</wp:posOffset>
            </wp:positionV>
            <wp:extent cx="3099435" cy="2206625"/>
            <wp:effectExtent l="0" t="0" r="5715" b="0"/>
            <wp:wrapTight wrapText="bothSides">
              <wp:wrapPolygon edited="0">
                <wp:start x="3186" y="186"/>
                <wp:lineTo x="1726" y="186"/>
                <wp:lineTo x="0" y="1865"/>
                <wp:lineTo x="0" y="19020"/>
                <wp:lineTo x="1328" y="21072"/>
                <wp:lineTo x="1859" y="21258"/>
                <wp:lineTo x="3186" y="21258"/>
                <wp:lineTo x="18321" y="21258"/>
                <wp:lineTo x="19117" y="21258"/>
                <wp:lineTo x="19781" y="21072"/>
                <wp:lineTo x="20179" y="21072"/>
                <wp:lineTo x="21507" y="18834"/>
                <wp:lineTo x="21507" y="18088"/>
                <wp:lineTo x="21640" y="15291"/>
                <wp:lineTo x="21640" y="6154"/>
                <wp:lineTo x="21507" y="3357"/>
                <wp:lineTo x="21507" y="1865"/>
                <wp:lineTo x="19781" y="186"/>
                <wp:lineTo x="18321" y="186"/>
                <wp:lineTo x="3186" y="186"/>
              </wp:wrapPolygon>
            </wp:wrapTight>
            <wp:docPr id="16" name="Рисунок 16" descr="C:\Documents and Settings\Admin\Рабочий стол\картинки\irnfzdof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картинки\irnfzdof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AA4915" w:rsidRDefault="00AA4915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AA4915" w:rsidRDefault="00AA4915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AA4915" w:rsidRDefault="00AA4915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AA4915" w:rsidRDefault="00AA4915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AA4915" w:rsidRDefault="00AA4915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892925" w:rsidRPr="00892925" w:rsidRDefault="00892925" w:rsidP="00764CC8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892925" w:rsidRDefault="00892925" w:rsidP="00764CC8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proofErr w:type="gramStart"/>
      <w:r>
        <w:rPr>
          <w:rFonts w:ascii="Comic Sans MS" w:hAnsi="Comic Sans MS" w:cs="Times New Roman"/>
          <w:b/>
          <w:sz w:val="24"/>
          <w:szCs w:val="24"/>
        </w:rPr>
        <w:lastRenderedPageBreak/>
        <w:t>Медицинские</w:t>
      </w:r>
      <w:proofErr w:type="gramEnd"/>
      <w:r>
        <w:rPr>
          <w:rFonts w:ascii="Comic Sans MS" w:hAnsi="Comic Sans MS" w:cs="Times New Roman"/>
          <w:b/>
          <w:sz w:val="24"/>
          <w:szCs w:val="24"/>
        </w:rPr>
        <w:t xml:space="preserve"> противопоказании;</w:t>
      </w:r>
    </w:p>
    <w:p w:rsidR="00892925" w:rsidRPr="000206F8" w:rsidRDefault="00892925" w:rsidP="0089292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заболеваниями психики и нервной системы</w:t>
      </w:r>
    </w:p>
    <w:p w:rsidR="00892925" w:rsidRPr="000206F8" w:rsidRDefault="00892925" w:rsidP="0089292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206F8">
        <w:rPr>
          <w:rFonts w:ascii="Comic Sans MS" w:hAnsi="Comic Sans MS"/>
          <w:sz w:val="24"/>
          <w:szCs w:val="24"/>
        </w:rPr>
        <w:t>хроническим заболеванием любых органов и систем в тяжёлой форме</w:t>
      </w:r>
    </w:p>
    <w:p w:rsidR="00892925" w:rsidRDefault="00892925" w:rsidP="00892925">
      <w:pPr>
        <w:pStyle w:val="a7"/>
        <w:numPr>
          <w:ilvl w:val="0"/>
          <w:numId w:val="13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заболевания сердечнососудистой системы</w:t>
      </w:r>
    </w:p>
    <w:p w:rsidR="00892925" w:rsidRDefault="00892925" w:rsidP="00892925">
      <w:pPr>
        <w:pStyle w:val="a7"/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892925" w:rsidRDefault="00892925" w:rsidP="00892925">
      <w:pPr>
        <w:pStyle w:val="a7"/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Личные качества, интересы и склонности:</w:t>
      </w:r>
    </w:p>
    <w:p w:rsidR="00892925" w:rsidRDefault="00892925" w:rsidP="00892925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порядочность</w:t>
      </w:r>
    </w:p>
    <w:p w:rsidR="00892925" w:rsidRDefault="00892925" w:rsidP="00892925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патриотизм</w:t>
      </w:r>
    </w:p>
    <w:p w:rsidR="00892925" w:rsidRDefault="008B6AC9" w:rsidP="00892925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организованность </w:t>
      </w:r>
    </w:p>
    <w:p w:rsidR="008B6AC9" w:rsidRDefault="008B6AC9" w:rsidP="00892925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наблюдательность</w:t>
      </w:r>
    </w:p>
    <w:p w:rsidR="008B6AC9" w:rsidRDefault="008B6AC9" w:rsidP="00892925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требовательность</w:t>
      </w:r>
    </w:p>
    <w:p w:rsidR="008B6AC9" w:rsidRDefault="008B6AC9" w:rsidP="00892925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хорошо развитая интуиция</w:t>
      </w:r>
    </w:p>
    <w:p w:rsidR="008B6AC9" w:rsidRDefault="008B6AC9" w:rsidP="008B6AC9">
      <w:pPr>
        <w:pStyle w:val="a7"/>
        <w:numPr>
          <w:ilvl w:val="0"/>
          <w:numId w:val="15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психологическая и физическая выносливость</w:t>
      </w:r>
    </w:p>
    <w:p w:rsidR="008B6AC9" w:rsidRDefault="008B6AC9" w:rsidP="008B6AC9">
      <w:pPr>
        <w:spacing w:after="0"/>
        <w:ind w:left="1080"/>
        <w:jc w:val="both"/>
        <w:rPr>
          <w:rFonts w:ascii="Comic Sans MS" w:hAnsi="Comic Sans MS" w:cs="Times New Roman"/>
          <w:b/>
          <w:sz w:val="24"/>
          <w:szCs w:val="24"/>
        </w:rPr>
      </w:pPr>
      <w:r w:rsidRPr="008B6AC9">
        <w:rPr>
          <w:rFonts w:ascii="Comic Sans MS" w:hAnsi="Comic Sans MS" w:cs="Times New Roman"/>
          <w:b/>
          <w:sz w:val="24"/>
          <w:szCs w:val="24"/>
        </w:rPr>
        <w:t xml:space="preserve">Личные </w:t>
      </w:r>
      <w:proofErr w:type="gramStart"/>
      <w:r w:rsidRPr="008B6AC9">
        <w:rPr>
          <w:rFonts w:ascii="Comic Sans MS" w:hAnsi="Comic Sans MS" w:cs="Times New Roman"/>
          <w:b/>
          <w:sz w:val="24"/>
          <w:szCs w:val="24"/>
        </w:rPr>
        <w:t>качества</w:t>
      </w:r>
      <w:proofErr w:type="gramEnd"/>
      <w:r w:rsidRPr="008B6AC9">
        <w:rPr>
          <w:rFonts w:ascii="Comic Sans MS" w:hAnsi="Comic Sans MS" w:cs="Times New Roman"/>
          <w:b/>
          <w:sz w:val="24"/>
          <w:szCs w:val="24"/>
        </w:rPr>
        <w:t xml:space="preserve"> препятствующие получению профессии</w:t>
      </w:r>
    </w:p>
    <w:p w:rsidR="008B6AC9" w:rsidRDefault="008B6AC9" w:rsidP="008B6AC9">
      <w:pPr>
        <w:pStyle w:val="a7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неспособность анализировать</w:t>
      </w:r>
    </w:p>
    <w:p w:rsidR="008B6AC9" w:rsidRDefault="008B6AC9" w:rsidP="008B6AC9">
      <w:pPr>
        <w:pStyle w:val="a7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нерешительность</w:t>
      </w:r>
    </w:p>
    <w:p w:rsidR="008B6AC9" w:rsidRDefault="008B6AC9" w:rsidP="008B6AC9">
      <w:pPr>
        <w:pStyle w:val="a7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безнравственность</w:t>
      </w:r>
    </w:p>
    <w:p w:rsidR="008B6AC9" w:rsidRDefault="008B6AC9" w:rsidP="008B6AC9">
      <w:pPr>
        <w:pStyle w:val="a7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отсутствие чувства долга</w:t>
      </w:r>
    </w:p>
    <w:p w:rsidR="008B6AC9" w:rsidRDefault="008B6AC9" w:rsidP="008B6AC9">
      <w:pPr>
        <w:pStyle w:val="a7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неорганизованность</w:t>
      </w:r>
    </w:p>
    <w:p w:rsidR="008B6AC9" w:rsidRPr="008B6AC9" w:rsidRDefault="008B6AC9" w:rsidP="008B6AC9">
      <w:pPr>
        <w:pStyle w:val="a7"/>
        <w:numPr>
          <w:ilvl w:val="0"/>
          <w:numId w:val="16"/>
        </w:num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быстрая утомляемость</w:t>
      </w:r>
    </w:p>
    <w:p w:rsidR="008B6AC9" w:rsidRDefault="008B6AC9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8B6AC9" w:rsidRDefault="008B6AC9" w:rsidP="00764CC8">
      <w:pPr>
        <w:spacing w:after="0"/>
        <w:jc w:val="both"/>
        <w:rPr>
          <w:rFonts w:ascii="Gabriola" w:hAnsi="Gabriola" w:cs="Times New Roman"/>
          <w:b/>
          <w:sz w:val="48"/>
          <w:szCs w:val="24"/>
        </w:rPr>
      </w:pPr>
    </w:p>
    <w:p w:rsidR="009B3059" w:rsidRPr="00764CC8" w:rsidRDefault="000A71C9" w:rsidP="008B6AC9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Gabriola" w:hAnsi="Gabriola" w:cs="Times New Roman"/>
          <w:b/>
          <w:sz w:val="48"/>
          <w:szCs w:val="24"/>
        </w:rPr>
        <w:t>ПРОФЕСИИЯ</w:t>
      </w:r>
    </w:p>
    <w:p w:rsidR="000A71C9" w:rsidRPr="00FD2F93" w:rsidRDefault="00BB6FA1" w:rsidP="008B6AC9">
      <w:pPr>
        <w:jc w:val="center"/>
        <w:rPr>
          <w:rFonts w:ascii="Gabriola" w:hAnsi="Gabriola" w:cs="Times New Roman"/>
          <w:b/>
          <w:sz w:val="48"/>
          <w:szCs w:val="24"/>
        </w:rPr>
      </w:pPr>
      <w:r>
        <w:rPr>
          <w:rFonts w:ascii="Gabriola" w:hAnsi="Gabriola" w:cs="Times New Roman"/>
          <w:b/>
          <w:sz w:val="48"/>
          <w:szCs w:val="24"/>
        </w:rPr>
        <w:t>Военно</w:t>
      </w:r>
      <w:r w:rsidR="00EE7F6F">
        <w:rPr>
          <w:rFonts w:ascii="Gabriola" w:hAnsi="Gabriola" w:cs="Times New Roman"/>
          <w:b/>
          <w:sz w:val="48"/>
          <w:szCs w:val="24"/>
        </w:rPr>
        <w:t>служащий</w:t>
      </w:r>
    </w:p>
    <w:p w:rsidR="009B3059" w:rsidRPr="009B3059" w:rsidRDefault="003A5404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61595</wp:posOffset>
            </wp:positionV>
            <wp:extent cx="3270885" cy="2180590"/>
            <wp:effectExtent l="0" t="0" r="5715" b="0"/>
            <wp:wrapNone/>
            <wp:docPr id="14" name="Рисунок 14" descr="C:\Documents and Settings\Admin\Рабочий стол\картинки\postup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картинки\postuple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3A5404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-469900</wp:posOffset>
            </wp:positionV>
            <wp:extent cx="1410335" cy="1410335"/>
            <wp:effectExtent l="0" t="0" r="0" b="0"/>
            <wp:wrapNone/>
            <wp:docPr id="7" name="Рисунок 7" descr="F:\qr-code (1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r-code (111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93" w:rsidRDefault="00FD2F93" w:rsidP="000A71C9">
      <w:pPr>
        <w:rPr>
          <w:rFonts w:ascii="Times New Roman" w:hAnsi="Times New Roman" w:cs="Times New Roman"/>
          <w:sz w:val="32"/>
          <w:szCs w:val="24"/>
        </w:rPr>
      </w:pPr>
    </w:p>
    <w:p w:rsidR="003A5404" w:rsidRDefault="003A5404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/>
          <w:bCs/>
          <w:noProof/>
          <w:color w:val="000000" w:themeColor="text1"/>
          <w:szCs w:val="24"/>
          <w:lang w:eastAsia="ru-RU"/>
        </w:rPr>
      </w:pPr>
    </w:p>
    <w:p w:rsidR="003A5404" w:rsidRPr="003A5404" w:rsidRDefault="003A5404" w:rsidP="003A5404">
      <w:pPr>
        <w:spacing w:after="0" w:line="240" w:lineRule="auto"/>
        <w:jc w:val="both"/>
        <w:rPr>
          <w:rFonts w:ascii="Comic Sans MS" w:eastAsia="Times New Roman" w:hAnsi="Comic Sans MS" w:cs="Arial"/>
          <w:b/>
          <w:bCs/>
          <w:noProof/>
          <w:color w:val="000000" w:themeColor="text1"/>
          <w:szCs w:val="24"/>
          <w:lang w:eastAsia="ru-RU"/>
        </w:rPr>
      </w:pPr>
    </w:p>
    <w:p w:rsidR="003A5404" w:rsidRPr="00A4273C" w:rsidRDefault="003A5404" w:rsidP="008B6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249EE">
        <w:rPr>
          <w:rFonts w:ascii="Times New Roman" w:hAnsi="Times New Roman" w:cs="Times New Roman"/>
          <w:b/>
          <w:bCs/>
          <w:sz w:val="28"/>
          <w:szCs w:val="28"/>
        </w:rPr>
        <w:t>kudapostupat.by</w:t>
      </w:r>
      <w:proofErr w:type="spellEnd"/>
      <w:r w:rsidRPr="00A4273C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3A5404" w:rsidRDefault="003A5404" w:rsidP="008B6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сайт в помощь абитуриенту</w:t>
      </w:r>
    </w:p>
    <w:p w:rsidR="003A5404" w:rsidRDefault="003A5404" w:rsidP="008B6A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404" w:rsidRDefault="003A5404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/>
          <w:bCs/>
          <w:noProof/>
          <w:color w:val="000000" w:themeColor="text1"/>
          <w:szCs w:val="24"/>
          <w:lang w:eastAsia="ru-RU"/>
        </w:rPr>
      </w:pPr>
    </w:p>
    <w:p w:rsidR="003A5404" w:rsidRDefault="003A5404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/>
          <w:bCs/>
          <w:noProof/>
          <w:color w:val="000000" w:themeColor="text1"/>
          <w:szCs w:val="24"/>
          <w:lang w:eastAsia="ru-RU"/>
        </w:rPr>
      </w:pPr>
    </w:p>
    <w:p w:rsidR="00EE7F6F" w:rsidRPr="00EE7F6F" w:rsidRDefault="00EE7F6F" w:rsidP="00EE7F6F">
      <w:pPr>
        <w:pStyle w:val="a7"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bCs/>
          <w:color w:val="000000" w:themeColor="text1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/>
          <w:bCs/>
          <w:color w:val="000000" w:themeColor="text1"/>
          <w:szCs w:val="24"/>
          <w:lang w:eastAsia="ru-RU"/>
        </w:rPr>
        <w:lastRenderedPageBreak/>
        <w:t>Кто может поступать в военно-учебные заведения?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</w:pPr>
      <w:proofErr w:type="gramStart"/>
      <w:r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>В военно-учебные заведения принимаются на конкурсной основе граждане Республики Беларусь мужского пола, имеющие законченное общее среднее (среднее специальное, профессионально-техническое с общим средним) образование либо высшее образование (при получении его в Республике Беларусь на условиях оплаты) в возрасте от 17 до 21 года, в том числе лица, которые достигли 17-летнего или 21-летнего возраста в год поступления на обучение.</w:t>
      </w:r>
      <w:proofErr w:type="gramEnd"/>
    </w:p>
    <w:p w:rsid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</w:p>
    <w:p w:rsid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</w:p>
    <w:p w:rsidR="003A5404" w:rsidRDefault="00EE7F6F" w:rsidP="00EE7F6F">
      <w:pPr>
        <w:pStyle w:val="a7"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ru-RU"/>
        </w:rPr>
        <w:t>Подготовку военных кадров осуществляет как Военная академия Республики</w:t>
      </w:r>
    </w:p>
    <w:p w:rsidR="003A5404" w:rsidRDefault="003A5404" w:rsidP="00EE7F6F">
      <w:pPr>
        <w:pStyle w:val="a7"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ru-RU"/>
        </w:rPr>
        <w:t xml:space="preserve"> Беларусь</w:t>
      </w:r>
    </w:p>
    <w:p w:rsidR="003A5404" w:rsidRPr="00764CC8" w:rsidRDefault="003A5404" w:rsidP="00EE7F6F">
      <w:pPr>
        <w:pStyle w:val="a7"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bCs/>
          <w:color w:val="000000" w:themeColor="text1"/>
          <w:sz w:val="28"/>
          <w:szCs w:val="24"/>
          <w:u w:val="single"/>
          <w:lang w:eastAsia="ru-RU"/>
        </w:rPr>
      </w:pPr>
      <w:r w:rsidRPr="003A5404">
        <w:rPr>
          <w:rFonts w:ascii="Comic Sans MS" w:eastAsia="Times New Roman" w:hAnsi="Comic Sans MS" w:cs="Arial"/>
          <w:b/>
          <w:bCs/>
          <w:color w:val="000000" w:themeColor="text1"/>
          <w:sz w:val="28"/>
          <w:szCs w:val="24"/>
          <w:u w:val="single"/>
          <w:lang w:val="en-US" w:eastAsia="ru-RU"/>
        </w:rPr>
        <w:t>www</w:t>
      </w:r>
      <w:r w:rsidRPr="00764CC8">
        <w:rPr>
          <w:rFonts w:ascii="Comic Sans MS" w:eastAsia="Times New Roman" w:hAnsi="Comic Sans MS" w:cs="Arial"/>
          <w:b/>
          <w:bCs/>
          <w:color w:val="000000" w:themeColor="text1"/>
          <w:sz w:val="28"/>
          <w:szCs w:val="24"/>
          <w:u w:val="single"/>
          <w:lang w:eastAsia="ru-RU"/>
        </w:rPr>
        <w:t>.</w:t>
      </w:r>
      <w:r w:rsidRPr="003A5404">
        <w:rPr>
          <w:rFonts w:ascii="Comic Sans MS" w:eastAsia="Times New Roman" w:hAnsi="Comic Sans MS" w:cs="Arial"/>
          <w:b/>
          <w:bCs/>
          <w:color w:val="000000" w:themeColor="text1"/>
          <w:sz w:val="28"/>
          <w:szCs w:val="24"/>
          <w:u w:val="single"/>
          <w:lang w:eastAsia="ru-RU"/>
        </w:rPr>
        <w:t>varb.mil.by</w:t>
      </w:r>
    </w:p>
    <w:p w:rsidR="00EE7F6F" w:rsidRPr="00EE7F6F" w:rsidRDefault="00EE7F6F" w:rsidP="00EE7F6F">
      <w:pPr>
        <w:pStyle w:val="a7"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ru-RU"/>
        </w:rPr>
        <w:t xml:space="preserve"> так и ряд военных факультетов гражданских учреждений образования: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 xml:space="preserve">1. военный факультет учреждения образования «Белорусский государственный университет»,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 xml:space="preserve">2. военный факультет учреждения образования «Белорусский государственный университет информатики и радиоэлектроники»,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>3. военно-транспортный факультет учреждения образования «Белорусский государственный университет транспорта»,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lastRenderedPageBreak/>
        <w:t xml:space="preserve">4. военно-технический факультет учреждения образования «Белорусский национальный технический университет»,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>5. военно-медицинский факультет учреждения образования «Белорусский государственный медицинский университет»,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 xml:space="preserve">6. военный факультет учреждения образования «Минский государственный высший авиационный колледж»,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 xml:space="preserve">7. военный факультет учреждения образования «Гродненский государственный университет имени Янки Купалы».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 w:val="24"/>
          <w:szCs w:val="24"/>
          <w:lang w:eastAsia="ru-RU"/>
        </w:rPr>
        <w:t xml:space="preserve">8. государственное учреждение образования «Институт пограничной службы Республики Беларусь»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center"/>
        <w:rPr>
          <w:rFonts w:ascii="Comic Sans MS" w:eastAsia="Times New Roman" w:hAnsi="Comic Sans MS" w:cs="Arial"/>
          <w:b/>
          <w:bCs/>
          <w:color w:val="000000" w:themeColor="text1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/>
          <w:bCs/>
          <w:color w:val="000000" w:themeColor="text1"/>
          <w:szCs w:val="24"/>
          <w:lang w:eastAsia="ru-RU"/>
        </w:rPr>
        <w:t>Порядок подачи документов для поступления</w:t>
      </w:r>
    </w:p>
    <w:p w:rsidR="00EE7F6F" w:rsidRPr="00EE7F6F" w:rsidRDefault="003A5404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</w:pPr>
      <w:r>
        <w:rPr>
          <w:rFonts w:ascii="Comic Sans MS" w:eastAsia="Times New Roman" w:hAnsi="Comic Sans MS" w:cs="Arial"/>
          <w:bCs/>
          <w:noProof/>
          <w:color w:val="000000" w:themeColor="text1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453390</wp:posOffset>
            </wp:positionV>
            <wp:extent cx="3270885" cy="2453005"/>
            <wp:effectExtent l="0" t="0" r="5715" b="4445"/>
            <wp:wrapTight wrapText="bothSides">
              <wp:wrapPolygon edited="0">
                <wp:start x="0" y="0"/>
                <wp:lineTo x="0" y="21471"/>
                <wp:lineTo x="21512" y="21471"/>
                <wp:lineTo x="21512" y="0"/>
                <wp:lineTo x="0" y="0"/>
              </wp:wrapPolygon>
            </wp:wrapTight>
            <wp:docPr id="1" name="Рисунок 1" descr="C:\Documents and Settings\Admin\Рабочий стол\ДЛЯ ВИКИ\8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ВИКИ\82_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F6F"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 xml:space="preserve">На каждого кандидата на поступление военным комиссариатом оформляется «Личное дело кандидата» и он до момента участия в конкурсе вступительных испытаний проходит предварительный и окончательный отбор для поступления в учебное заведение. Все это требует определенного времени. В соответствии с правилами приема в военно-учебные заведения кандидату рекомендовано до 1 апреля года поступления обратиться </w:t>
      </w:r>
      <w:proofErr w:type="gramStart"/>
      <w:r w:rsidR="00EE7F6F"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>в военный комиссариат по месту регистрации с заявлением о направлении его для поступления</w:t>
      </w:r>
      <w:proofErr w:type="gramEnd"/>
      <w:r w:rsidR="00EE7F6F"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 xml:space="preserve"> в военно-учебное заведение. 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>Во-первых, юноша может по заявлению пройти медицинское освидетельствование на предмет годности к поступлению в военно-</w:t>
      </w:r>
      <w:r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lastRenderedPageBreak/>
        <w:t>учебное заведение и у него, в случае необходимости, есть время для того, чтобы подлечиться</w:t>
      </w:r>
    </w:p>
    <w:p w:rsidR="00EE7F6F" w:rsidRPr="00EE7F6F" w:rsidRDefault="00EE7F6F" w:rsidP="00EE7F6F">
      <w:pPr>
        <w:pStyle w:val="a7"/>
        <w:spacing w:after="0" w:line="240" w:lineRule="auto"/>
        <w:ind w:left="0" w:firstLine="284"/>
        <w:jc w:val="both"/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>Во-вторых, лучше узнать о негодности к поступлению в военно-учебное заведение по состоянию здоровья как можно раньше и переориентироваться на другое учебное заведение, чем узнать об этом за три месяца до поступления.</w:t>
      </w:r>
    </w:p>
    <w:p w:rsidR="009A26BE" w:rsidRDefault="00EE7F6F" w:rsidP="00EE7F6F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EE7F6F">
        <w:rPr>
          <w:rFonts w:ascii="Comic Sans MS" w:eastAsia="Times New Roman" w:hAnsi="Comic Sans MS" w:cs="Arial"/>
          <w:bCs/>
          <w:color w:val="000000" w:themeColor="text1"/>
          <w:szCs w:val="24"/>
          <w:lang w:eastAsia="ru-RU"/>
        </w:rPr>
        <w:t>В-третьих, после подтверждения степени годности к поступлению, кандидат может все усилия направить на непосредственную подготовку к сдаче предметов тестирования.</w:t>
      </w:r>
    </w:p>
    <w:p w:rsidR="00764CC8" w:rsidRPr="003A5404" w:rsidRDefault="00764CC8" w:rsidP="00764CC8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3A5404">
        <w:rPr>
          <w:rFonts w:ascii="Comic Sans MS" w:hAnsi="Comic Sans MS" w:cs="Times New Roman"/>
          <w:b/>
          <w:sz w:val="24"/>
          <w:szCs w:val="24"/>
          <w:u w:val="single"/>
        </w:rPr>
        <w:t>Фильмы о военных</w:t>
      </w:r>
    </w:p>
    <w:p w:rsidR="00764CC8" w:rsidRPr="003A5404" w:rsidRDefault="00764CC8" w:rsidP="00764CC8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3A5404">
        <w:rPr>
          <w:rFonts w:ascii="Comic Sans MS" w:hAnsi="Comic Sans MS" w:cs="Times New Roman"/>
          <w:b/>
          <w:sz w:val="24"/>
          <w:szCs w:val="24"/>
        </w:rPr>
        <w:t>•</w:t>
      </w:r>
      <w:r w:rsidRPr="003A5404">
        <w:rPr>
          <w:rFonts w:ascii="Comic Sans MS" w:hAnsi="Comic Sans MS" w:cs="Times New Roman"/>
          <w:b/>
          <w:sz w:val="24"/>
          <w:szCs w:val="24"/>
        </w:rPr>
        <w:tab/>
        <w:t>«Офицеры» (1971) СССР</w:t>
      </w:r>
    </w:p>
    <w:p w:rsidR="00764CC8" w:rsidRPr="003A5404" w:rsidRDefault="00764CC8" w:rsidP="00764CC8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3A5404">
        <w:rPr>
          <w:rFonts w:ascii="Comic Sans MS" w:hAnsi="Comic Sans MS" w:cs="Times New Roman"/>
          <w:b/>
          <w:sz w:val="24"/>
          <w:szCs w:val="24"/>
        </w:rPr>
        <w:t>•</w:t>
      </w:r>
      <w:r w:rsidRPr="003A5404">
        <w:rPr>
          <w:rFonts w:ascii="Comic Sans MS" w:hAnsi="Comic Sans MS" w:cs="Times New Roman"/>
          <w:b/>
          <w:sz w:val="24"/>
          <w:szCs w:val="24"/>
        </w:rPr>
        <w:tab/>
        <w:t>«Случай в квадрате 36-80» (1982), СССР</w:t>
      </w:r>
    </w:p>
    <w:p w:rsidR="00764CC8" w:rsidRPr="003A5404" w:rsidRDefault="00764CC8" w:rsidP="00764CC8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3A5404">
        <w:rPr>
          <w:rFonts w:ascii="Comic Sans MS" w:hAnsi="Comic Sans MS" w:cs="Times New Roman"/>
          <w:b/>
          <w:sz w:val="24"/>
          <w:szCs w:val="24"/>
        </w:rPr>
        <w:t>•</w:t>
      </w:r>
      <w:r w:rsidRPr="003A5404">
        <w:rPr>
          <w:rFonts w:ascii="Comic Sans MS" w:hAnsi="Comic Sans MS" w:cs="Times New Roman"/>
          <w:b/>
          <w:sz w:val="24"/>
          <w:szCs w:val="24"/>
        </w:rPr>
        <w:tab/>
        <w:t>«Экипаж» (1979) СССР</w:t>
      </w:r>
    </w:p>
    <w:p w:rsidR="00764CC8" w:rsidRPr="003A5404" w:rsidRDefault="00764CC8" w:rsidP="00764CC8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3A5404">
        <w:rPr>
          <w:rFonts w:ascii="Comic Sans MS" w:hAnsi="Comic Sans MS" w:cs="Times New Roman"/>
          <w:b/>
          <w:sz w:val="24"/>
          <w:szCs w:val="24"/>
        </w:rPr>
        <w:t>•</w:t>
      </w:r>
      <w:r w:rsidRPr="003A5404">
        <w:rPr>
          <w:rFonts w:ascii="Comic Sans MS" w:hAnsi="Comic Sans MS" w:cs="Times New Roman"/>
          <w:b/>
          <w:sz w:val="24"/>
          <w:szCs w:val="24"/>
        </w:rPr>
        <w:tab/>
        <w:t>«Одиночное плавание» (1985) СССР</w:t>
      </w:r>
    </w:p>
    <w:p w:rsidR="00764CC8" w:rsidRPr="009B3059" w:rsidRDefault="00764CC8" w:rsidP="00764CC8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764CC8" w:rsidRPr="00764CC8" w:rsidRDefault="00764CC8" w:rsidP="00EE7F6F">
      <w:pPr>
        <w:pStyle w:val="a7"/>
        <w:spacing w:after="0" w:line="240" w:lineRule="auto"/>
        <w:ind w:left="0" w:firstLine="284"/>
        <w:jc w:val="both"/>
        <w:rPr>
          <w:rFonts w:ascii="Comic Sans MS" w:hAnsi="Comic Sans MS"/>
          <w:color w:val="000000" w:themeColor="text1"/>
          <w:szCs w:val="24"/>
          <w:u w:val="single"/>
        </w:rPr>
      </w:pPr>
    </w:p>
    <w:sectPr w:rsidR="00764CC8" w:rsidRPr="00764CC8" w:rsidSect="00AA4915">
      <w:pgSz w:w="16838" w:h="11906" w:orient="landscape"/>
      <w:pgMar w:top="568" w:right="253" w:bottom="426" w:left="567" w:header="426" w:footer="708" w:gutter="0"/>
      <w:cols w:num="3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2E" w:rsidRDefault="00907E2E" w:rsidP="005170A6">
      <w:pPr>
        <w:spacing w:after="0" w:line="240" w:lineRule="auto"/>
      </w:pPr>
      <w:r>
        <w:separator/>
      </w:r>
    </w:p>
  </w:endnote>
  <w:endnote w:type="continuationSeparator" w:id="1">
    <w:p w:rsidR="00907E2E" w:rsidRDefault="00907E2E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2E" w:rsidRDefault="00907E2E" w:rsidP="005170A6">
      <w:pPr>
        <w:spacing w:after="0" w:line="240" w:lineRule="auto"/>
      </w:pPr>
      <w:r>
        <w:separator/>
      </w:r>
    </w:p>
  </w:footnote>
  <w:footnote w:type="continuationSeparator" w:id="1">
    <w:p w:rsidR="00907E2E" w:rsidRDefault="00907E2E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F9C"/>
    <w:multiLevelType w:val="hybridMultilevel"/>
    <w:tmpl w:val="660C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3B7"/>
    <w:multiLevelType w:val="hybridMultilevel"/>
    <w:tmpl w:val="153E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A595B"/>
    <w:multiLevelType w:val="hybridMultilevel"/>
    <w:tmpl w:val="8DCC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7585"/>
    <w:multiLevelType w:val="hybridMultilevel"/>
    <w:tmpl w:val="8350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E4DFE"/>
    <w:multiLevelType w:val="hybridMultilevel"/>
    <w:tmpl w:val="9C8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74F66"/>
    <w:multiLevelType w:val="hybridMultilevel"/>
    <w:tmpl w:val="68C6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C79FD"/>
    <w:multiLevelType w:val="hybridMultilevel"/>
    <w:tmpl w:val="679A1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15FDE"/>
    <w:multiLevelType w:val="hybridMultilevel"/>
    <w:tmpl w:val="12D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F414D"/>
    <w:multiLevelType w:val="hybridMultilevel"/>
    <w:tmpl w:val="C11E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67976"/>
    <w:multiLevelType w:val="hybridMultilevel"/>
    <w:tmpl w:val="0EA8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F0929"/>
    <w:multiLevelType w:val="hybridMultilevel"/>
    <w:tmpl w:val="4CDE60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94493"/>
    <w:multiLevelType w:val="hybridMultilevel"/>
    <w:tmpl w:val="E1D2C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6A55AF"/>
    <w:multiLevelType w:val="hybridMultilevel"/>
    <w:tmpl w:val="D1B2426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A6"/>
    <w:rsid w:val="000A71C9"/>
    <w:rsid w:val="000B73C5"/>
    <w:rsid w:val="002861E5"/>
    <w:rsid w:val="0029065F"/>
    <w:rsid w:val="00346CF1"/>
    <w:rsid w:val="00376486"/>
    <w:rsid w:val="003A5404"/>
    <w:rsid w:val="005170A6"/>
    <w:rsid w:val="00517B28"/>
    <w:rsid w:val="0055120F"/>
    <w:rsid w:val="00565EB0"/>
    <w:rsid w:val="00764CC8"/>
    <w:rsid w:val="00892925"/>
    <w:rsid w:val="00893B56"/>
    <w:rsid w:val="008B6AC9"/>
    <w:rsid w:val="008C3BBD"/>
    <w:rsid w:val="00907E2E"/>
    <w:rsid w:val="009A26BE"/>
    <w:rsid w:val="009B3059"/>
    <w:rsid w:val="00AA4915"/>
    <w:rsid w:val="00BB6FA1"/>
    <w:rsid w:val="00D3733F"/>
    <w:rsid w:val="00E27864"/>
    <w:rsid w:val="00EE7F6F"/>
    <w:rsid w:val="00FD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56"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2descr-prof">
    <w:name w:val="h2_descr-prof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anstext-page">
    <w:name w:val="pt-sans_text-page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pageprofess">
    <w:name w:val="text_page_profess"/>
    <w:basedOn w:val="a"/>
    <w:rsid w:val="000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56">
          <w:marLeft w:val="148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809">
              <w:marLeft w:val="0"/>
              <w:marRight w:val="-18928"/>
              <w:marTop w:val="0"/>
              <w:marBottom w:val="0"/>
              <w:divBdr>
                <w:top w:val="single" w:sz="2" w:space="0" w:color="F2E1E4"/>
                <w:left w:val="single" w:sz="2" w:space="0" w:color="F2E1E4"/>
                <w:bottom w:val="single" w:sz="2" w:space="0" w:color="F2E1E4"/>
                <w:right w:val="single" w:sz="2" w:space="0" w:color="F2E1E4"/>
              </w:divBdr>
            </w:div>
            <w:div w:id="1844662532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739">
              <w:marLeft w:val="0"/>
              <w:marRight w:val="-18928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261">
              <w:marLeft w:val="0"/>
              <w:marRight w:val="-18928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266">
              <w:marLeft w:val="0"/>
              <w:marRight w:val="-18928"/>
              <w:marTop w:val="7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675">
                  <w:marLeft w:val="211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60733">
          <w:marLeft w:val="148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Криничанская школа</cp:lastModifiedBy>
  <cp:revision>6</cp:revision>
  <dcterms:created xsi:type="dcterms:W3CDTF">2018-12-05T12:14:00Z</dcterms:created>
  <dcterms:modified xsi:type="dcterms:W3CDTF">2019-01-31T13:09:00Z</dcterms:modified>
</cp:coreProperties>
</file>