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BE" w:rsidRPr="000718BE" w:rsidRDefault="000718BE" w:rsidP="000718BE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0718BE">
        <w:rPr>
          <w:rStyle w:val="a5"/>
          <w:iCs/>
          <w:sz w:val="30"/>
          <w:szCs w:val="30"/>
        </w:rPr>
        <w:t>Тактика выявления несовершеннолетних,</w:t>
      </w:r>
    </w:p>
    <w:p w:rsidR="000718BE" w:rsidRPr="000718BE" w:rsidRDefault="000718BE" w:rsidP="000718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30"/>
          <w:szCs w:val="30"/>
        </w:rPr>
      </w:pPr>
      <w:proofErr w:type="gramStart"/>
      <w:r w:rsidRPr="000718BE">
        <w:rPr>
          <w:rStyle w:val="a5"/>
          <w:iCs/>
          <w:sz w:val="30"/>
          <w:szCs w:val="30"/>
        </w:rPr>
        <w:t>находящихся</w:t>
      </w:r>
      <w:proofErr w:type="gramEnd"/>
      <w:r w:rsidRPr="000718BE">
        <w:rPr>
          <w:rStyle w:val="a5"/>
          <w:iCs/>
          <w:sz w:val="30"/>
          <w:szCs w:val="30"/>
        </w:rPr>
        <w:t xml:space="preserve"> в состоянии наркотического опьянения.</w:t>
      </w:r>
    </w:p>
    <w:p w:rsid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5"/>
          <w:iCs/>
          <w:sz w:val="30"/>
          <w:szCs w:val="30"/>
        </w:rPr>
      </w:pP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5"/>
          <w:iCs/>
          <w:sz w:val="30"/>
          <w:szCs w:val="30"/>
        </w:rPr>
        <w:t>Основные признаки потребления наркотиков: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> заметное уменьшение или возрастание аппетита, жажды;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бледность, землистый цвет или покраснение лица, одутловатость, сальный цвет;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чрезмерно широкие или узкие зрачки;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круги под глазами;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сухость, шелушение, дряблость кожи, тусклость и ломкость волос;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сухость губ или повышенное слюноотделение;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потеря веса, тошнота, тремор, частый насморк, кашель;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появление нехарактерных запахов изо рта, от волос и одежды (запах лекарств и других химических веществ, сладковатый запах, похожий на благовония, тмин, мяту, запах клея, растворителя);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следы от уколов и порезов (на внутренней стороне локтевых сгибов, кистях рук, ногах, порезы на предплечьях, синяки);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proofErr w:type="gramStart"/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появление предметов, сопутствующих употреблению наркотиков: порошка, капсул, таблеток (особенно снотворных или успокоительных), свертков, в том числе из фольги, полиэтиленовых пакетиков с «замками», желтых или коричневых пятен на теле или одежде, шприцев, игл, ампул, сухих частиц растений, закопченных ложек, похожих на пластилин комочков с сильным запахом;</w:t>
      </w:r>
      <w:proofErr w:type="gramEnd"/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появление таинственных звонков и странных разговоров по телефону, использование «шифра», жаргонных слов;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t>❖</w:t>
      </w:r>
      <w:r w:rsidRPr="000718BE">
        <w:rPr>
          <w:rStyle w:val="a4"/>
          <w:i w:val="0"/>
          <w:sz w:val="30"/>
          <w:szCs w:val="30"/>
        </w:rPr>
        <w:t xml:space="preserve"> сужение круга интересов, потеря интереса к прежним увлечениям (и отсутствие при этом новых), частое общение с новыми друзьями, во внешнем облике которых отмечаются черты, указанные ранее;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i w:val="0"/>
          <w:sz w:val="30"/>
          <w:szCs w:val="30"/>
        </w:rPr>
        <w:t>* неустойчивость эмоционального состояния, подъемы настроения резко сменяются вспышками раздражительности, агрессии;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rFonts w:ascii="MS Mincho" w:eastAsia="MS Mincho" w:hAnsi="MS Mincho" w:cs="MS Mincho" w:hint="eastAsia"/>
          <w:i w:val="0"/>
          <w:sz w:val="30"/>
          <w:szCs w:val="30"/>
        </w:rPr>
        <w:lastRenderedPageBreak/>
        <w:t>❖</w:t>
      </w:r>
      <w:r w:rsidRPr="000718BE">
        <w:rPr>
          <w:rStyle w:val="a4"/>
          <w:i w:val="0"/>
          <w:sz w:val="30"/>
          <w:szCs w:val="30"/>
        </w:rPr>
        <w:t xml:space="preserve"> вялость, заторможенность, быстрая утомляемость, малая подвижность, сменяемые необъяснимым возбуждением, энергичность, бесцельные движения.</w:t>
      </w:r>
    </w:p>
    <w:p w:rsidR="000718BE" w:rsidRPr="000718BE" w:rsidRDefault="000718BE" w:rsidP="000718BE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0718BE">
        <w:rPr>
          <w:rStyle w:val="a5"/>
          <w:iCs/>
          <w:sz w:val="30"/>
          <w:szCs w:val="30"/>
        </w:rPr>
        <w:t>Порядок действий педагогов при подозрении</w:t>
      </w:r>
    </w:p>
    <w:p w:rsidR="000718BE" w:rsidRPr="000718BE" w:rsidRDefault="000718BE" w:rsidP="000718BE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0718BE">
        <w:rPr>
          <w:rStyle w:val="a5"/>
          <w:iCs/>
          <w:sz w:val="30"/>
          <w:szCs w:val="30"/>
        </w:rPr>
        <w:t xml:space="preserve">либо выявлении факта потребления наркотиков </w:t>
      </w:r>
      <w:proofErr w:type="gramStart"/>
      <w:r w:rsidRPr="000718BE">
        <w:rPr>
          <w:rStyle w:val="a5"/>
          <w:iCs/>
          <w:sz w:val="30"/>
          <w:szCs w:val="30"/>
        </w:rPr>
        <w:t>обучающимся</w:t>
      </w:r>
      <w:proofErr w:type="gramEnd"/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5"/>
          <w:b w:val="0"/>
          <w:iCs/>
          <w:sz w:val="30"/>
          <w:szCs w:val="30"/>
        </w:rPr>
        <w:t>При подозрении в том, что подросток потребляет наркотики: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i w:val="0"/>
          <w:sz w:val="30"/>
          <w:szCs w:val="30"/>
        </w:rPr>
        <w:t xml:space="preserve">* при проведении всех действий обязательно присутствие </w:t>
      </w:r>
      <w:proofErr w:type="gramStart"/>
      <w:r w:rsidRPr="000718BE">
        <w:rPr>
          <w:rStyle w:val="a4"/>
          <w:i w:val="0"/>
          <w:sz w:val="30"/>
          <w:szCs w:val="30"/>
        </w:rPr>
        <w:t>двоих педагогов</w:t>
      </w:r>
      <w:proofErr w:type="gramEnd"/>
      <w:r w:rsidRPr="000718BE">
        <w:rPr>
          <w:rStyle w:val="a4"/>
          <w:i w:val="0"/>
          <w:sz w:val="30"/>
          <w:szCs w:val="30"/>
        </w:rPr>
        <w:t>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i w:val="0"/>
          <w:sz w:val="30"/>
          <w:szCs w:val="30"/>
        </w:rPr>
        <w:t>* предложите показать подростку содержимое карманов, личных вещей, при этом положив подозрительные вещества на письменный стол, парту;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i w:val="0"/>
          <w:sz w:val="30"/>
          <w:szCs w:val="30"/>
        </w:rPr>
        <w:t>* после предоставления содержимого вещей предложите подростку отойти на расстояние от объекта не менее двух метров;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i w:val="0"/>
          <w:sz w:val="30"/>
          <w:szCs w:val="30"/>
        </w:rPr>
        <w:t>* по возможности процесс проведения всех действий можно зафиксировать на видеокамеру или камеру мобильного телефона;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i w:val="0"/>
          <w:sz w:val="30"/>
          <w:szCs w:val="30"/>
        </w:rPr>
        <w:t>* внимательно следите за поведением подростка, так как в процессе предоставления содержимого вещей, последний может попытаться их уничтожить (съесть, сдуть, выбросить в окно и т.д.), не оставляйте его в помещении одного;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i w:val="0"/>
          <w:sz w:val="30"/>
          <w:szCs w:val="30"/>
        </w:rPr>
        <w:t>* нельзя самим дотрагиваться до упаковки подозрительных веществ, самих веществ, так как это в дальнейшем может уничтожить вещественные доказательства;</w:t>
      </w:r>
    </w:p>
    <w:p w:rsidR="000718BE" w:rsidRPr="000718BE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i w:val="0"/>
          <w:sz w:val="30"/>
          <w:szCs w:val="30"/>
        </w:rPr>
        <w:t>* не пытайтесь попробовать подозрительное вещество на вкус, почувствовать его запах, так как это может навредить здоровью;</w:t>
      </w:r>
    </w:p>
    <w:p w:rsidR="008C5CF7" w:rsidRDefault="000718BE" w:rsidP="000718BE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</w:rPr>
      </w:pPr>
      <w:r w:rsidRPr="000718BE">
        <w:rPr>
          <w:rStyle w:val="a4"/>
          <w:i w:val="0"/>
          <w:sz w:val="30"/>
          <w:szCs w:val="30"/>
        </w:rPr>
        <w:t>* в последующем необходимо вызвать милицию по телефону 102 для приезда следственно-оперативной группы.</w:t>
      </w:r>
    </w:p>
    <w:p w:rsidR="000718BE" w:rsidRDefault="000718BE" w:rsidP="000718B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</w:p>
    <w:p w:rsidR="000718BE" w:rsidRDefault="000718BE" w:rsidP="000718B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</w:p>
    <w:p w:rsidR="000718BE" w:rsidRDefault="000718BE" w:rsidP="000718B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</w:p>
    <w:p w:rsidR="000718BE" w:rsidRDefault="000718BE" w:rsidP="000718B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</w:p>
    <w:p w:rsidR="000718BE" w:rsidRDefault="000718BE" w:rsidP="000718B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</w:p>
    <w:p w:rsidR="000718BE" w:rsidRDefault="000718BE" w:rsidP="000718B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</w:p>
    <w:p w:rsidR="000718BE" w:rsidRDefault="000718BE" w:rsidP="000718B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  <w:bookmarkStart w:id="0" w:name="_GoBack"/>
      <w:bookmarkEnd w:id="0"/>
    </w:p>
    <w:sectPr w:rsidR="0007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EAD"/>
    <w:multiLevelType w:val="multilevel"/>
    <w:tmpl w:val="B79E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B056A"/>
    <w:multiLevelType w:val="multilevel"/>
    <w:tmpl w:val="C30A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710B1"/>
    <w:multiLevelType w:val="multilevel"/>
    <w:tmpl w:val="22E8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B26F1B"/>
    <w:multiLevelType w:val="multilevel"/>
    <w:tmpl w:val="5A284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BE"/>
    <w:rsid w:val="000718BE"/>
    <w:rsid w:val="008C5CF7"/>
    <w:rsid w:val="008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18BE"/>
    <w:rPr>
      <w:i/>
      <w:iCs/>
    </w:rPr>
  </w:style>
  <w:style w:type="character" w:styleId="a5">
    <w:name w:val="Strong"/>
    <w:basedOn w:val="a0"/>
    <w:uiPriority w:val="22"/>
    <w:qFormat/>
    <w:rsid w:val="000718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18BE"/>
    <w:rPr>
      <w:i/>
      <w:iCs/>
    </w:rPr>
  </w:style>
  <w:style w:type="character" w:styleId="a5">
    <w:name w:val="Strong"/>
    <w:basedOn w:val="a0"/>
    <w:uiPriority w:val="22"/>
    <w:qFormat/>
    <w:rsid w:val="00071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7423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6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7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06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8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2022-03-15T09:58:00Z</dcterms:created>
  <dcterms:modified xsi:type="dcterms:W3CDTF">2023-01-24T10:48:00Z</dcterms:modified>
</cp:coreProperties>
</file>