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1" w:rsidRPr="00322B01" w:rsidRDefault="00322B01" w:rsidP="00322B01">
      <w:pPr>
        <w:shd w:val="clear" w:color="auto" w:fill="FFFFFF"/>
        <w:spacing w:before="374" w:after="187"/>
        <w:jc w:val="both"/>
        <w:outlineLvl w:val="1"/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</w:pPr>
      <w:r w:rsidRPr="00322B01"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  <w:t>ПОРЯДОК ЗАПОЛНЕНИЯ БЛАНКА ОТВЕТОВ</w:t>
      </w:r>
    </w:p>
    <w:p w:rsidR="00322B01" w:rsidRPr="00322B01" w:rsidRDefault="009F4513" w:rsidP="00322B01">
      <w:pPr>
        <w:spacing w:before="374" w:after="374"/>
        <w:rPr>
          <w:rFonts w:eastAsia="Times New Roman" w:cs="Times New Roman"/>
          <w:sz w:val="24"/>
          <w:szCs w:val="24"/>
          <w:lang w:eastAsia="ru-RU"/>
        </w:rPr>
      </w:pPr>
      <w:r w:rsidRPr="009F4513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333" stroked="f"/>
        </w:pic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Информация в бланк ответов записывается только в</w:t>
      </w:r>
      <w:r w:rsidRPr="00322B01">
        <w:rPr>
          <w:rFonts w:ascii="Helvetica" w:eastAsia="Times New Roman" w:hAnsi="Helvetica" w:cs="Helvetica"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специально определенные поля черными чернилами (</w:t>
      </w:r>
      <w:proofErr w:type="spellStart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гелевой</w:t>
      </w:r>
      <w:proofErr w:type="spellEnd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 xml:space="preserve"> или капиллярной ручкой)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. Каждое поле заполняется, начиная с</w:t>
      </w:r>
      <w:r w:rsidRPr="00322B01">
        <w:rPr>
          <w:rFonts w:ascii="Helvetica" w:eastAsia="Times New Roman" w:hAnsi="Helvetica" w:cs="Helvetica"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первой клеточки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. Цифры и буквы вписываются в соответствии с образцами написания, расположенными в верхней части бланка ответов (рис. 1). Случайные и не определенные инструкцией пометки недопустимы.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30"/>
          <w:szCs w:val="30"/>
          <w:lang w:eastAsia="ru-RU"/>
        </w:rPr>
        <w:drawing>
          <wp:inline distT="0" distB="0" distL="0" distR="0">
            <wp:extent cx="8098790" cy="1460500"/>
            <wp:effectExtent l="19050" t="0" r="0" b="0"/>
            <wp:docPr id="2" name="Рисунок 2" descr="ПОРЯДОК ЗАПОЛНЕНИЯ БЛАНКА ОТВЕТ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ЯДОК ЗАПОЛНЕНИЯ БЛАНКА ОТВЕТ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1" w:rsidRPr="00322B01" w:rsidRDefault="00322B01" w:rsidP="00322B01">
      <w:pPr>
        <w:shd w:val="clear" w:color="auto" w:fill="FFFFFF"/>
        <w:spacing w:after="187"/>
        <w:jc w:val="center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Рис. 1 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Бланк ответов состоит из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области регистрации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и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области ответов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. В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области регистрации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(рис. 2) расположены: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30"/>
          <w:szCs w:val="30"/>
          <w:lang w:eastAsia="ru-RU"/>
        </w:rPr>
        <w:lastRenderedPageBreak/>
        <w:drawing>
          <wp:inline distT="0" distB="0" distL="0" distR="0">
            <wp:extent cx="8098790" cy="2161540"/>
            <wp:effectExtent l="19050" t="0" r="0" b="0"/>
            <wp:docPr id="3" name="Рисунок 3" descr="ПОРЯДОК ЗАПОЛНЕНИЯ БЛАНКА ОТВЕТ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ЗАПОЛНЕНИЯ БЛАНКА ОТВЕТ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30"/>
          <w:szCs w:val="30"/>
          <w:lang w:eastAsia="ru-RU"/>
        </w:rPr>
        <w:drawing>
          <wp:inline distT="0" distB="0" distL="0" distR="0">
            <wp:extent cx="8098790" cy="937895"/>
            <wp:effectExtent l="19050" t="0" r="0" b="0"/>
            <wp:docPr id="4" name="Рисунок 4" descr="ПОРЯДОК ЗАПОЛНЕНИЯ БЛАНКА ОТВЕТО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ЯДОК ЗАПОЛНЕНИЯ БЛАНКА ОТВЕТО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1" w:rsidRPr="00322B01" w:rsidRDefault="00322B01" w:rsidP="00322B01">
      <w:pPr>
        <w:shd w:val="clear" w:color="auto" w:fill="FFFFFF"/>
        <w:spacing w:after="187"/>
        <w:jc w:val="center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Рис. 2</w:t>
      </w:r>
    </w:p>
    <w:p w:rsidR="00322B01" w:rsidRPr="00322B01" w:rsidRDefault="00322B01" w:rsidP="00322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поля, заполняемые абитуриентом по указанию ответственного организатора в аудитории (табл. 1, 2):</w:t>
      </w:r>
    </w:p>
    <w:p w:rsidR="00322B01" w:rsidRPr="00322B01" w:rsidRDefault="00322B01" w:rsidP="00322B01">
      <w:pPr>
        <w:shd w:val="clear" w:color="auto" w:fill="FFFFFF"/>
        <w:spacing w:after="187"/>
        <w:jc w:val="right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Таблица 1</w:t>
      </w:r>
    </w:p>
    <w:tbl>
      <w:tblPr>
        <w:tblW w:w="10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5"/>
        <w:gridCol w:w="3175"/>
      </w:tblGrid>
      <w:tr w:rsidR="00322B01" w:rsidRPr="00322B01" w:rsidTr="00322B01">
        <w:tc>
          <w:tcPr>
            <w:tcW w:w="71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Код пункта тестирования: </w:t>
            </w: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указывается код пункта проведения тестирования в соответствии с кодировкой РИКЗ</w:t>
            </w:r>
          </w:p>
        </w:tc>
        <w:tc>
          <w:tcPr>
            <w:tcW w:w="318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Например: 101 (БНТУ)</w:t>
            </w:r>
          </w:p>
        </w:tc>
      </w:tr>
      <w:tr w:rsidR="00322B01" w:rsidRPr="00322B01" w:rsidTr="00322B01">
        <w:tc>
          <w:tcPr>
            <w:tcW w:w="71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Корпус: </w:t>
            </w: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 xml:space="preserve">указывается номер (название) корпуса пункта проведения тестирования, в котором </w:t>
            </w: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lastRenderedPageBreak/>
              <w:t>абитуриент проходит централизованное тестирование</w:t>
            </w:r>
          </w:p>
        </w:tc>
        <w:tc>
          <w:tcPr>
            <w:tcW w:w="318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lastRenderedPageBreak/>
              <w:t>Например: 1</w:t>
            </w:r>
          </w:p>
        </w:tc>
      </w:tr>
      <w:tr w:rsidR="00322B01" w:rsidRPr="00322B01" w:rsidTr="00322B01">
        <w:tc>
          <w:tcPr>
            <w:tcW w:w="71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proofErr w:type="gramStart"/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lastRenderedPageBreak/>
              <w:t>Номер аудитории: </w:t>
            </w: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указывается номер аудитории пункта проведения тестирования, в которой абитуриент проходит централизованное тестирование</w:t>
            </w:r>
            <w:proofErr w:type="gramEnd"/>
          </w:p>
        </w:tc>
        <w:tc>
          <w:tcPr>
            <w:tcW w:w="318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Например: 45</w:t>
            </w:r>
          </w:p>
        </w:tc>
      </w:tr>
    </w:tbl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</w:t>
      </w:r>
    </w:p>
    <w:p w:rsidR="00322B01" w:rsidRPr="00322B01" w:rsidRDefault="00322B01" w:rsidP="00322B01">
      <w:pPr>
        <w:shd w:val="clear" w:color="auto" w:fill="FFFFFF"/>
        <w:spacing w:after="187"/>
        <w:jc w:val="right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</w:t>
      </w: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Таблица 2</w:t>
      </w: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6"/>
        <w:gridCol w:w="1499"/>
        <w:gridCol w:w="2929"/>
        <w:gridCol w:w="2946"/>
      </w:tblGrid>
      <w:tr w:rsidR="00322B01" w:rsidRPr="00322B01" w:rsidTr="00322B01">
        <w:trPr>
          <w:tblHeader/>
        </w:trPr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2DEDE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Предмет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2DEDE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Код предмета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2DEDE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Сокращенное название предмета на русском языке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2DEDE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Сокращенное название предмета на белорусском языке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01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РУС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–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Белорусский язык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02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БЕЛ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Физика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03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ФИЗ</w:t>
            </w:r>
            <w:proofErr w:type="gramEnd"/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Ф</w:t>
            </w: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I</w:t>
            </w:r>
            <w:proofErr w:type="gramEnd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З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04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МАТ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МАТ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Химия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05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ХИМ</w:t>
            </w:r>
            <w:proofErr w:type="gramEnd"/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Х</w:t>
            </w: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I</w:t>
            </w:r>
            <w:proofErr w:type="gramEnd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М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lastRenderedPageBreak/>
              <w:t>Биология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06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БИО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Б</w:t>
            </w: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I</w:t>
            </w:r>
            <w:proofErr w:type="gramEnd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Я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Английский язык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07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АНГ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АНГ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Немецкий язык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08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НЕМ</w:t>
            </w:r>
            <w:proofErr w:type="gramEnd"/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НЯМ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Испанский язык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09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ИСП</w:t>
            </w:r>
            <w:proofErr w:type="gramEnd"/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IC</w:t>
            </w: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П</w:t>
            </w:r>
            <w:proofErr w:type="gramEnd"/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Французский язык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ФРА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ФРА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История Беларуси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ИСТ</w:t>
            </w:r>
            <w:proofErr w:type="gramEnd"/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Г</w:t>
            </w:r>
            <w:proofErr w:type="gramEnd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IC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Обществоведение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ОБЩ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ГРА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География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ГЕО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ГЕА</w:t>
            </w:r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Всемирная история (новейшее время)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ВИС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СГ</w:t>
            </w:r>
            <w:proofErr w:type="gramStart"/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I</w:t>
            </w:r>
            <w:proofErr w:type="gramEnd"/>
          </w:p>
        </w:tc>
      </w:tr>
      <w:tr w:rsidR="00322B01" w:rsidRPr="00322B01" w:rsidTr="00322B01">
        <w:tc>
          <w:tcPr>
            <w:tcW w:w="286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Китайский язык</w:t>
            </w:r>
          </w:p>
        </w:tc>
        <w:tc>
          <w:tcPr>
            <w:tcW w:w="1425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КИТ</w:t>
            </w:r>
          </w:p>
        </w:tc>
        <w:tc>
          <w:tcPr>
            <w:tcW w:w="297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КІТ</w:t>
            </w:r>
          </w:p>
        </w:tc>
      </w:tr>
    </w:tbl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lastRenderedPageBreak/>
        <w:t> </w:t>
      </w:r>
    </w:p>
    <w:p w:rsidR="00322B01" w:rsidRPr="00322B01" w:rsidRDefault="00322B01" w:rsidP="00322B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поля, заполняемые абитуриентом самостоятельно (табл. 3):</w:t>
      </w:r>
    </w:p>
    <w:p w:rsidR="00322B01" w:rsidRPr="00322B01" w:rsidRDefault="00322B01" w:rsidP="00322B01">
      <w:pPr>
        <w:shd w:val="clear" w:color="auto" w:fill="FFFFFF"/>
        <w:spacing w:after="187"/>
        <w:jc w:val="right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Таблица 3</w:t>
      </w:r>
    </w:p>
    <w:tbl>
      <w:tblPr>
        <w:tblW w:w="10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8753"/>
      </w:tblGrid>
      <w:tr w:rsidR="00322B01" w:rsidRPr="00322B01" w:rsidTr="00322B01">
        <w:tc>
          <w:tcPr>
            <w:tcW w:w="0" w:type="auto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Фамилия,</w:t>
            </w:r>
          </w:p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имя,</w:t>
            </w:r>
          </w:p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отчество</w:t>
            </w:r>
          </w:p>
        </w:tc>
        <w:tc>
          <w:tcPr>
            <w:tcW w:w="885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Указывается информация из документа, удостоверяющего личность (паспорт,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322B01" w:rsidRPr="00322B01" w:rsidTr="00322B01">
        <w:tc>
          <w:tcPr>
            <w:tcW w:w="0" w:type="auto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Серия</w:t>
            </w:r>
          </w:p>
        </w:tc>
        <w:tc>
          <w:tcPr>
            <w:tcW w:w="885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Указывается серия документа, удостоверяющего личность (паспорт,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322B01" w:rsidRPr="00322B01" w:rsidTr="00322B01">
        <w:tc>
          <w:tcPr>
            <w:tcW w:w="0" w:type="auto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Номер</w:t>
            </w:r>
          </w:p>
        </w:tc>
        <w:tc>
          <w:tcPr>
            <w:tcW w:w="885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Указывается номер документа, удостоверяющего личность (паспорт,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322B01" w:rsidRPr="00322B01" w:rsidTr="00322B01">
        <w:tc>
          <w:tcPr>
            <w:tcW w:w="0" w:type="auto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Дата</w:t>
            </w:r>
          </w:p>
        </w:tc>
        <w:tc>
          <w:tcPr>
            <w:tcW w:w="885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D9EDF7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>Указывается дата проведения централизованного тестирования</w:t>
            </w:r>
          </w:p>
        </w:tc>
      </w:tr>
      <w:tr w:rsidR="00322B01" w:rsidRPr="00322B01" w:rsidTr="00322B01">
        <w:tc>
          <w:tcPr>
            <w:tcW w:w="0" w:type="auto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b/>
                <w:bCs/>
                <w:color w:val="595A5D"/>
                <w:sz w:val="30"/>
                <w:lang w:eastAsia="ru-RU"/>
              </w:rPr>
              <w:t>Подпись</w:t>
            </w:r>
          </w:p>
        </w:tc>
        <w:tc>
          <w:tcPr>
            <w:tcW w:w="8850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322B01" w:rsidRPr="00322B01" w:rsidRDefault="00322B01" w:rsidP="00322B01">
            <w:pPr>
              <w:spacing w:after="187" w:line="374" w:lineRule="atLeast"/>
              <w:jc w:val="center"/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</w:pP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t xml:space="preserve">Абитуриент ставит свою подпись, удостоверившись в </w:t>
            </w:r>
            <w:r w:rsidRPr="00322B01">
              <w:rPr>
                <w:rFonts w:ascii="Helvetica" w:eastAsia="Times New Roman" w:hAnsi="Helvetica" w:cs="Helvetica"/>
                <w:color w:val="595A5D"/>
                <w:sz w:val="30"/>
                <w:szCs w:val="30"/>
                <w:lang w:eastAsia="ru-RU"/>
              </w:rPr>
              <w:lastRenderedPageBreak/>
              <w:t>соответствии номера варианта бланка ответов номеру варианта педагогического теста. Подпись абитуриента на бланке ответов не должна выходить за линии ограничительной рамки (окошка)</w:t>
            </w:r>
          </w:p>
        </w:tc>
      </w:tr>
    </w:tbl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lastRenderedPageBreak/>
        <w:t> 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Область ответов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состоит из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части</w:t>
      </w:r>
      <w:proofErr w:type="gramStart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b/>
          <w:bCs/>
          <w:i/>
          <w:iCs/>
          <w:color w:val="595A5D"/>
          <w:sz w:val="30"/>
          <w:lang w:eastAsia="ru-RU"/>
        </w:rPr>
        <w:t>А</w:t>
      </w:r>
      <w:proofErr w:type="gramEnd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и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 части </w:t>
      </w:r>
      <w:r w:rsidRPr="00322B01">
        <w:rPr>
          <w:rFonts w:ascii="Helvetica" w:eastAsia="Times New Roman" w:hAnsi="Helvetica" w:cs="Helvetica"/>
          <w:b/>
          <w:bCs/>
          <w:i/>
          <w:iCs/>
          <w:color w:val="595A5D"/>
          <w:sz w:val="30"/>
          <w:lang w:eastAsia="ru-RU"/>
        </w:rPr>
        <w:t>В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Область ответов части</w:t>
      </w:r>
      <w:proofErr w:type="gramStart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b/>
          <w:bCs/>
          <w:i/>
          <w:iCs/>
          <w:color w:val="595A5D"/>
          <w:sz w:val="30"/>
          <w:lang w:eastAsia="ru-RU"/>
        </w:rPr>
        <w:t>А</w:t>
      </w:r>
      <w:proofErr w:type="gramEnd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включает два поля.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Поле I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(рис. 3) – горизонтальный ряд номеров тестовых заданий, под каждым из которых расположены вертикальные столбики из пяти клеточек для обозначения меткой выбранного ответа. 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30"/>
          <w:szCs w:val="30"/>
          <w:lang w:eastAsia="ru-RU"/>
        </w:rPr>
        <w:lastRenderedPageBreak/>
        <w:drawing>
          <wp:inline distT="0" distB="0" distL="0" distR="0">
            <wp:extent cx="8098790" cy="3289300"/>
            <wp:effectExtent l="19050" t="0" r="0" b="0"/>
            <wp:docPr id="5" name="Рисунок 5" descr="ПОРЯДОК ЗАПОЛНЕНИЯ БЛАНКА ОТВЕТ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ЯДОК ЗАПОЛНЕНИЯ БЛАНКА ОТВЕТ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1" w:rsidRPr="00322B01" w:rsidRDefault="00322B01" w:rsidP="00322B01">
      <w:pPr>
        <w:shd w:val="clear" w:color="auto" w:fill="FFFFFF"/>
        <w:spacing w:after="187"/>
        <w:jc w:val="center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Рис. 3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Образец метки</w:t>
      </w:r>
      <w:proofErr w:type="gramStart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 xml:space="preserve"> (×) </w:t>
      </w:r>
      <w:proofErr w:type="gramEnd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приведен в бланке ответов. Линии метки не должны</w:t>
      </w:r>
      <w:r w:rsidRPr="00322B01">
        <w:rPr>
          <w:rFonts w:ascii="Helvetica" w:eastAsia="Times New Roman" w:hAnsi="Helvetica" w:cs="Helvetica"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br/>
        <w:t>быть толстыми. Если стержень ручки оставляет слишком жирную линию, вместо</w:t>
      </w:r>
      <w:r w:rsidRPr="00322B01">
        <w:rPr>
          <w:rFonts w:ascii="Helvetica" w:eastAsia="Times New Roman" w:hAnsi="Helvetica" w:cs="Helvetica"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br/>
        <w:t>двух черт нужно провести только одну (любую) диагональ в клеточке</w:t>
      </w:r>
      <w:r w:rsidRPr="00322B01">
        <w:rPr>
          <w:rFonts w:ascii="Helvetica" w:eastAsia="Times New Roman" w:hAnsi="Helvetica" w:cs="Helvetica"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br/>
        <w:t>(</w:t>
      </w:r>
      <w:r>
        <w:rPr>
          <w:rFonts w:ascii="Helvetica" w:eastAsia="Times New Roman" w:hAnsi="Helvetica" w:cs="Helvetica"/>
          <w:noProof/>
          <w:color w:val="595A5D"/>
          <w:sz w:val="30"/>
          <w:szCs w:val="30"/>
          <w:lang w:eastAsia="ru-RU"/>
        </w:rPr>
        <w:drawing>
          <wp:inline distT="0" distB="0" distL="0" distR="0">
            <wp:extent cx="189865" cy="189865"/>
            <wp:effectExtent l="19050" t="0" r="635" b="0"/>
            <wp:docPr id="6" name="Рисунок 6" descr="http://rikc.by/uploads/posts/2018-06/1528726452_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ikc.by/uploads/posts/2018-06/1528726452_screenshot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или </w:t>
      </w:r>
      <w:r>
        <w:rPr>
          <w:rFonts w:ascii="Helvetica" w:eastAsia="Times New Roman" w:hAnsi="Helvetica" w:cs="Helvetica"/>
          <w:noProof/>
          <w:color w:val="595A5D"/>
          <w:sz w:val="30"/>
          <w:szCs w:val="30"/>
          <w:lang w:eastAsia="ru-RU"/>
        </w:rPr>
        <w:drawing>
          <wp:inline distT="0" distB="0" distL="0" distR="0">
            <wp:extent cx="189865" cy="189865"/>
            <wp:effectExtent l="19050" t="0" r="635" b="0"/>
            <wp:docPr id="7" name="Рисунок 7" descr="http://rikc.by/uploads/posts/2018-06/1528726495_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kc.by/uploads/posts/2018-06/1528726495_screenshot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).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Запрещено исправлять метку графическим способом (заштриховывать) или замазывать корректирующей жидкостью.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При внесении ответа абитуриент под номером тестового задания должен поставить метку в той клеточке, номер которой соответствует номеру выбранного им варианта ответа.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Поле II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(рис. 4) – область отмены ошибочных меток (часть</w:t>
      </w:r>
      <w:r w:rsidRPr="00322B01">
        <w:rPr>
          <w:rFonts w:ascii="Helvetica" w:eastAsia="Times New Roman" w:hAnsi="Helvetica" w:cs="Helvetica"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А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). 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30"/>
          <w:szCs w:val="30"/>
          <w:lang w:eastAsia="ru-RU"/>
        </w:rPr>
        <w:lastRenderedPageBreak/>
        <w:drawing>
          <wp:inline distT="0" distB="0" distL="0" distR="0">
            <wp:extent cx="8098790" cy="1270635"/>
            <wp:effectExtent l="19050" t="0" r="0" b="0"/>
            <wp:docPr id="8" name="Рисунок 8" descr="ПОРЯДОК ЗАПОЛНЕНИЯ БЛАНКА ОТВЕТО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РЯДОК ЗАПОЛНЕНИЯ БЛАНКА ОТВЕТО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1" w:rsidRPr="00322B01" w:rsidRDefault="00322B01" w:rsidP="00322B01">
      <w:pPr>
        <w:shd w:val="clear" w:color="auto" w:fill="FFFFFF"/>
        <w:spacing w:after="187"/>
        <w:jc w:val="center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</w:t>
      </w: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Рис. 4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        В одном тестовом задании можно отменить несколько ошибочных меток, но не более шести. Для отмены ошибочной метки необходимо:</w:t>
      </w:r>
    </w:p>
    <w:p w:rsidR="00322B01" w:rsidRPr="00322B01" w:rsidRDefault="00322B01" w:rsidP="00322B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указать номер тестового задания (</w:t>
      </w:r>
      <w:proofErr w:type="gramStart"/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см</w:t>
      </w:r>
      <w:proofErr w:type="gramEnd"/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рис. 4, сноска 1)и номер ошибочной метки (см. рис. 4, сноска 2);</w:t>
      </w:r>
    </w:p>
    <w:p w:rsidR="00322B01" w:rsidRPr="00322B01" w:rsidRDefault="00322B01" w:rsidP="00322B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</w:pPr>
      <w:r w:rsidRPr="00322B01"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  <w:t>поставить метку в нужной клеточке столбика тестового задания (</w:t>
      </w:r>
      <w:proofErr w:type="gramStart"/>
      <w:r w:rsidRPr="00322B01"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  <w:t>см</w:t>
      </w:r>
      <w:proofErr w:type="gramEnd"/>
      <w:r w:rsidRPr="00322B01"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  <w:t>. рис. 3, сноска 1).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Область ответов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</w:t>
      </w: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части</w:t>
      </w:r>
      <w:proofErr w:type="gramStart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b/>
          <w:bCs/>
          <w:i/>
          <w:iCs/>
          <w:color w:val="595A5D"/>
          <w:sz w:val="30"/>
          <w:lang w:eastAsia="ru-RU"/>
        </w:rPr>
        <w:t>В</w:t>
      </w:r>
      <w:proofErr w:type="gramEnd"/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включает два поля.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Поле I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(рис. 5) – область для записи ответов на задания. 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30"/>
          <w:szCs w:val="30"/>
          <w:lang w:eastAsia="ru-RU"/>
        </w:rPr>
        <w:lastRenderedPageBreak/>
        <w:drawing>
          <wp:inline distT="0" distB="0" distL="0" distR="0">
            <wp:extent cx="8098790" cy="2374900"/>
            <wp:effectExtent l="19050" t="0" r="0" b="0"/>
            <wp:docPr id="9" name="Рисунок 9" descr="ПОРЯДОК ЗАПОЛНЕНИЯ БЛАНКА ОТВЕТО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РЯДОК ЗАПОЛНЕНИЯ БЛАНКА ОТВЕТО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1" w:rsidRPr="00322B01" w:rsidRDefault="00322B01" w:rsidP="00322B01">
      <w:pPr>
        <w:shd w:val="clear" w:color="auto" w:fill="FFFFFF"/>
        <w:spacing w:after="187"/>
        <w:jc w:val="center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Рис. 5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Ответы на задания части</w:t>
      </w:r>
      <w:proofErr w:type="gramStart"/>
      <w:r w:rsidRPr="00322B01">
        <w:rPr>
          <w:rFonts w:ascii="Helvetica" w:eastAsia="Times New Roman" w:hAnsi="Helvetica" w:cs="Helvetica"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В</w:t>
      </w:r>
      <w:proofErr w:type="gramEnd"/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необходимо записывать справа от номера тестового задания. Ответ в этой части дается в соответствии с условием тестового задания (слово, словосочетание, сочетание букв и цифр, цифр или целое число). Каждая цифра, буква или знак «минус» (если число отрицательное) записывается в отдельной клеточке.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Ответ, состоящий из нескольких слов, записывается слитно, без дефиса, пробела или другого разделительного знака. Если в таком ответе букв будет больше, чем клеточек в поле ответа, то последнее слово следует писать убористо (не соблюдая попадания бу</w:t>
      </w:r>
      <w:proofErr w:type="gramStart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кв в кл</w:t>
      </w:r>
      <w:proofErr w:type="gramEnd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еточки, чтобы слово вместилось полностью).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proofErr w:type="gramStart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Ответ (слово или словосочетание) дается на языке и в форме (род, число, падеж), которые определяются условием тестового задания.</w:t>
      </w:r>
      <w:proofErr w:type="gramEnd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 xml:space="preserve"> Ответ, в котором абитуриент допустил орфографические ошибки, не засчитывается как правильный.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lastRenderedPageBreak/>
        <w:t>Недопустимо записывать ответ в виде математической формулы или выражения, указывать названия единиц измерения (градусы, проценты, метры, тонны).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b/>
          <w:bCs/>
          <w:color w:val="595A5D"/>
          <w:sz w:val="30"/>
          <w:lang w:eastAsia="ru-RU"/>
        </w:rPr>
        <w:t>Поле II </w:t>
      </w: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(рис. 6) – область замены ошибочных ответов на задания (</w:t>
      </w:r>
      <w:proofErr w:type="spellStart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часть</w:t>
      </w: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В</w:t>
      </w:r>
      <w:proofErr w:type="spellEnd"/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). 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30"/>
          <w:szCs w:val="30"/>
          <w:lang w:eastAsia="ru-RU"/>
        </w:rPr>
        <w:drawing>
          <wp:inline distT="0" distB="0" distL="0" distR="0">
            <wp:extent cx="8098790" cy="2683510"/>
            <wp:effectExtent l="19050" t="0" r="0" b="0"/>
            <wp:docPr id="10" name="Рисунок 10" descr="ПОРЯДОК ЗАПОЛНЕНИЯ БЛАНКА ОТВЕТОВ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РЯДОК ЗАПОЛНЕНИЯ БЛАНКА ОТВЕТОВ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79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01" w:rsidRPr="00322B01" w:rsidRDefault="00322B01" w:rsidP="00322B01">
      <w:pPr>
        <w:shd w:val="clear" w:color="auto" w:fill="FFFFFF"/>
        <w:spacing w:after="187"/>
        <w:jc w:val="center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 </w:t>
      </w:r>
      <w:r w:rsidRPr="00322B01">
        <w:rPr>
          <w:rFonts w:ascii="Helvetica" w:eastAsia="Times New Roman" w:hAnsi="Helvetica" w:cs="Helvetica"/>
          <w:i/>
          <w:iCs/>
          <w:color w:val="595A5D"/>
          <w:sz w:val="30"/>
          <w:lang w:eastAsia="ru-RU"/>
        </w:rPr>
        <w:t>Рис. 6</w:t>
      </w:r>
    </w:p>
    <w:p w:rsidR="00322B01" w:rsidRPr="00322B01" w:rsidRDefault="00322B01" w:rsidP="00322B01">
      <w:pPr>
        <w:shd w:val="clear" w:color="auto" w:fill="FFFFFF"/>
        <w:spacing w:after="187"/>
        <w:jc w:val="both"/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Заменить можно не более двух ошибочных ответов. Для замены ошибочного и записи верного ответа необходимо:</w:t>
      </w:r>
    </w:p>
    <w:p w:rsidR="00322B01" w:rsidRPr="00322B01" w:rsidRDefault="00322B01" w:rsidP="00322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указать номер тестового задания, на которое был дан ошибочный ответ (</w:t>
      </w:r>
      <w:proofErr w:type="gramStart"/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см</w:t>
      </w:r>
      <w:proofErr w:type="gramEnd"/>
      <w:r w:rsidRPr="00322B0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рис. 6, сноска 1);</w:t>
      </w:r>
    </w:p>
    <w:p w:rsidR="00322B01" w:rsidRPr="00322B01" w:rsidRDefault="00322B01" w:rsidP="00322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4" w:lineRule="atLeast"/>
        <w:jc w:val="both"/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</w:pPr>
      <w:r w:rsidRPr="00322B01"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  <w:t>записать правильный ответ (</w:t>
      </w:r>
      <w:proofErr w:type="gramStart"/>
      <w:r w:rsidRPr="00322B01"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  <w:t>см</w:t>
      </w:r>
      <w:proofErr w:type="gramEnd"/>
      <w:r w:rsidRPr="00322B01">
        <w:rPr>
          <w:rFonts w:ascii="Helvetica" w:eastAsia="Times New Roman" w:hAnsi="Helvetica" w:cs="Helvetica"/>
          <w:color w:val="5A5555"/>
          <w:sz w:val="26"/>
          <w:szCs w:val="26"/>
          <w:lang w:eastAsia="ru-RU"/>
        </w:rPr>
        <w:t>. рис. 6, сноска 2).</w:t>
      </w:r>
    </w:p>
    <w:p w:rsidR="00657B0E" w:rsidRDefault="00322B01" w:rsidP="00EC62B8">
      <w:pPr>
        <w:shd w:val="clear" w:color="auto" w:fill="FFFFFF"/>
        <w:spacing w:after="187"/>
        <w:jc w:val="both"/>
      </w:pPr>
      <w:r w:rsidRPr="00322B01">
        <w:rPr>
          <w:rFonts w:ascii="Helvetica" w:eastAsia="Times New Roman" w:hAnsi="Helvetica" w:cs="Helvetica"/>
          <w:color w:val="595A5D"/>
          <w:sz w:val="30"/>
          <w:szCs w:val="30"/>
          <w:lang w:eastAsia="ru-RU"/>
        </w:rPr>
        <w:t>Претензии к результатам централизованного тестирования по причине нарушения абитуриентом порядка заполнения бланка ответов не рассматриваются.</w:t>
      </w:r>
    </w:p>
    <w:sectPr w:rsidR="00657B0E" w:rsidSect="00EC62B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0A3"/>
    <w:multiLevelType w:val="multilevel"/>
    <w:tmpl w:val="D05E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D6E14"/>
    <w:multiLevelType w:val="multilevel"/>
    <w:tmpl w:val="71B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16419"/>
    <w:multiLevelType w:val="multilevel"/>
    <w:tmpl w:val="C25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25D38"/>
    <w:multiLevelType w:val="multilevel"/>
    <w:tmpl w:val="F05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2B01"/>
    <w:rsid w:val="000577A1"/>
    <w:rsid w:val="00156C6D"/>
    <w:rsid w:val="00182305"/>
    <w:rsid w:val="001E6A4C"/>
    <w:rsid w:val="00203A21"/>
    <w:rsid w:val="00322B01"/>
    <w:rsid w:val="00352377"/>
    <w:rsid w:val="00657B0E"/>
    <w:rsid w:val="009022B6"/>
    <w:rsid w:val="009447AF"/>
    <w:rsid w:val="009F4513"/>
    <w:rsid w:val="00A13ACF"/>
    <w:rsid w:val="00C76100"/>
    <w:rsid w:val="00EC62B8"/>
    <w:rsid w:val="00F5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0E"/>
  </w:style>
  <w:style w:type="paragraph" w:styleId="2">
    <w:name w:val="heading 2"/>
    <w:basedOn w:val="a"/>
    <w:link w:val="20"/>
    <w:uiPriority w:val="9"/>
    <w:qFormat/>
    <w:rsid w:val="00322B0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B0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22B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B01"/>
  </w:style>
  <w:style w:type="character" w:styleId="a4">
    <w:name w:val="Strong"/>
    <w:basedOn w:val="a0"/>
    <w:uiPriority w:val="22"/>
    <w:qFormat/>
    <w:rsid w:val="00322B01"/>
    <w:rPr>
      <w:b/>
      <w:bCs/>
    </w:rPr>
  </w:style>
  <w:style w:type="character" w:styleId="a5">
    <w:name w:val="Emphasis"/>
    <w:basedOn w:val="a0"/>
    <w:uiPriority w:val="20"/>
    <w:qFormat/>
    <w:rsid w:val="00322B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2B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ikc.by/uploads/posts/2018-06/1528781741_ris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rikc.by/uploads/posts/2018-06/1528781874_ris5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ikc.by/uploads/posts/2018-06/1528781845_ris3.png" TargetMode="External"/><Relationship Id="rId5" Type="http://schemas.openxmlformats.org/officeDocument/2006/relationships/hyperlink" Target="http://rikc.by/uploads/posts/2018-06/1528781705_ris1.png" TargetMode="External"/><Relationship Id="rId15" Type="http://schemas.openxmlformats.org/officeDocument/2006/relationships/hyperlink" Target="http://rikc.by/uploads/posts/2018-06/1528781853_ris4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rikc.by/uploads/posts/2018-06/1528781969_ris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kc.by/uploads/posts/2018-06/1528781833_ris2-1.png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2018-12-14T11:19:00Z</dcterms:created>
  <dcterms:modified xsi:type="dcterms:W3CDTF">2018-12-18T09:58:00Z</dcterms:modified>
</cp:coreProperties>
</file>