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8" w:space="0" w:color="632423" w:themeColor="accent2" w:themeShade="80"/>
          <w:left w:val="single" w:sz="8" w:space="0" w:color="632423" w:themeColor="accent2" w:themeShade="80"/>
          <w:bottom w:val="single" w:sz="8" w:space="0" w:color="632423" w:themeColor="accent2" w:themeShade="80"/>
          <w:right w:val="single" w:sz="8" w:space="0" w:color="632423" w:themeColor="accent2" w:themeShade="80"/>
          <w:insideH w:val="single" w:sz="8" w:space="0" w:color="632423" w:themeColor="accent2" w:themeShade="80"/>
          <w:insideV w:val="single" w:sz="8" w:space="0" w:color="632423" w:themeColor="accent2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19"/>
        <w:gridCol w:w="3402"/>
        <w:gridCol w:w="992"/>
        <w:gridCol w:w="2294"/>
      </w:tblGrid>
      <w:tr w:rsidR="006C21AD" w:rsidRPr="006C21AD" w:rsidTr="006C21AD">
        <w:trPr>
          <w:trHeight w:val="426"/>
        </w:trPr>
        <w:tc>
          <w:tcPr>
            <w:tcW w:w="4219" w:type="dxa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shd w:val="clear" w:color="auto" w:fill="FFFFFF" w:themeFill="background1"/>
          </w:tcPr>
          <w:p w:rsidR="004F566A" w:rsidRPr="006C21AD" w:rsidRDefault="004F566A" w:rsidP="006C21AD">
            <w:pPr>
              <w:pStyle w:val="a9"/>
              <w:ind w:firstLine="567"/>
              <w:rPr>
                <w:b/>
                <w:i/>
                <w:color w:val="00B050"/>
              </w:rPr>
            </w:pPr>
          </w:p>
        </w:tc>
        <w:tc>
          <w:tcPr>
            <w:tcW w:w="3402" w:type="dxa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shd w:val="clear" w:color="auto" w:fill="FFFFFF" w:themeFill="background1"/>
          </w:tcPr>
          <w:p w:rsidR="004F566A" w:rsidRPr="006C21AD" w:rsidRDefault="004F566A" w:rsidP="006C21AD">
            <w:pPr>
              <w:pStyle w:val="a9"/>
              <w:ind w:firstLine="567"/>
              <w:rPr>
                <w:b/>
                <w:i/>
                <w:color w:val="00B050"/>
              </w:rPr>
            </w:pPr>
          </w:p>
        </w:tc>
        <w:tc>
          <w:tcPr>
            <w:tcW w:w="992" w:type="dxa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shd w:val="clear" w:color="auto" w:fill="FFFFFF" w:themeFill="background1"/>
          </w:tcPr>
          <w:p w:rsidR="004F566A" w:rsidRPr="006C21AD" w:rsidRDefault="004F566A" w:rsidP="006C21AD">
            <w:pPr>
              <w:pStyle w:val="a9"/>
              <w:ind w:firstLine="567"/>
              <w:rPr>
                <w:b/>
                <w:i/>
                <w:color w:val="00B050"/>
              </w:rPr>
            </w:pPr>
          </w:p>
        </w:tc>
        <w:tc>
          <w:tcPr>
            <w:tcW w:w="2294" w:type="dxa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shd w:val="clear" w:color="auto" w:fill="FFFFFF" w:themeFill="background1"/>
          </w:tcPr>
          <w:p w:rsidR="004F566A" w:rsidRPr="006C21AD" w:rsidRDefault="004F566A" w:rsidP="006C21AD">
            <w:pPr>
              <w:pStyle w:val="a9"/>
              <w:ind w:firstLine="567"/>
              <w:rPr>
                <w:b/>
                <w:i/>
                <w:color w:val="00B050"/>
              </w:rPr>
            </w:pPr>
          </w:p>
        </w:tc>
      </w:tr>
    </w:tbl>
    <w:p w:rsidR="00E86631" w:rsidRPr="003F6CB9" w:rsidRDefault="003F6CB9" w:rsidP="006C21AD">
      <w:pPr>
        <w:pStyle w:val="a9"/>
        <w:ind w:firstLine="567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1</w:t>
      </w:r>
      <w:r w:rsidRPr="003F6CB9">
        <w:rPr>
          <w:b/>
          <w:i/>
          <w:color w:val="00B050"/>
          <w:sz w:val="28"/>
          <w:szCs w:val="28"/>
        </w:rPr>
        <w:t xml:space="preserve">5 </w:t>
      </w:r>
      <w:proofErr w:type="gramStart"/>
      <w:r w:rsidRPr="003F6CB9">
        <w:rPr>
          <w:b/>
          <w:i/>
          <w:color w:val="00B050"/>
          <w:sz w:val="28"/>
          <w:szCs w:val="28"/>
        </w:rPr>
        <w:t>марта-день</w:t>
      </w:r>
      <w:proofErr w:type="gramEnd"/>
      <w:r w:rsidRPr="003F6CB9">
        <w:rPr>
          <w:b/>
          <w:i/>
          <w:color w:val="00B050"/>
          <w:sz w:val="28"/>
          <w:szCs w:val="28"/>
        </w:rPr>
        <w:t xml:space="preserve"> Конституции РБ</w:t>
      </w:r>
    </w:p>
    <w:p w:rsidR="006C21AD" w:rsidRPr="006C21AD" w:rsidRDefault="003F6CB9" w:rsidP="006C21AD">
      <w:pPr>
        <w:pStyle w:val="a9"/>
        <w:ind w:firstLine="567"/>
        <w:rPr>
          <w:rFonts w:ascii="Tahoma" w:hAnsi="Tahoma" w:cs="Tahoma"/>
          <w:b/>
          <w:i/>
          <w:color w:val="00B050"/>
          <w:sz w:val="18"/>
          <w:szCs w:val="18"/>
        </w:rPr>
      </w:pPr>
      <w:r w:rsidRPr="006C21AD">
        <w:rPr>
          <w:rFonts w:ascii="Tahoma" w:hAnsi="Tahoma" w:cs="Tahoma"/>
          <w:b/>
          <w:i/>
          <w:noProof/>
          <w:color w:val="00B05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21EBF375" wp14:editId="73E7A465">
            <wp:simplePos x="0" y="0"/>
            <wp:positionH relativeFrom="margin">
              <wp:posOffset>4834255</wp:posOffset>
            </wp:positionH>
            <wp:positionV relativeFrom="margin">
              <wp:posOffset>1104900</wp:posOffset>
            </wp:positionV>
            <wp:extent cx="2006600" cy="1438275"/>
            <wp:effectExtent l="0" t="0" r="0" b="9525"/>
            <wp:wrapSquare wrapText="bothSides"/>
            <wp:docPr id="1" name="Рисунок 1" descr="http://content.schools.by/ddu63grodno/library/s001067_8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schools.by/ddu63grodno/library/s001067_8666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21AD" w:rsidRPr="006C21AD">
        <w:rPr>
          <w:rFonts w:ascii="Tahoma" w:hAnsi="Tahoma" w:cs="Tahoma"/>
          <w:b/>
          <w:i/>
          <w:color w:val="00B050"/>
          <w:sz w:val="18"/>
          <w:szCs w:val="18"/>
        </w:rPr>
        <w:t>15 марта мы отмечаем государственный праздник — День Конституции РБ. В нашей стране Конституция — это основной закон, в котором прописаны права и обязанности каждого гражданина нашей республики, избирательная система, государственный строй. Благодаря Конституции любой человек в нашей стране имеет право на достойную жизнь и личностное развитие.</w:t>
      </w:r>
      <w:r w:rsidR="006C21AD" w:rsidRPr="006C21AD">
        <w:rPr>
          <w:rFonts w:ascii="Tahoma" w:hAnsi="Tahoma" w:cs="Tahoma"/>
          <w:b/>
          <w:i/>
          <w:color w:val="00B050"/>
          <w:sz w:val="18"/>
          <w:szCs w:val="18"/>
        </w:rPr>
        <w:br/>
        <w:t>День Конституции Беларуси несет в себе глубокое содержание, ведь главный закон в некоторой степени является отражением менталитета народа, зеркалом жизни страны, поэтому он непрестанно развивается вместе с развитием общества.</w:t>
      </w:r>
    </w:p>
    <w:p w:rsidR="006C21AD" w:rsidRPr="006C21AD" w:rsidRDefault="006C21AD" w:rsidP="006C21AD">
      <w:pPr>
        <w:pStyle w:val="a9"/>
        <w:ind w:firstLine="567"/>
        <w:rPr>
          <w:rFonts w:ascii="Tahoma" w:hAnsi="Tahoma" w:cs="Tahoma"/>
          <w:b/>
          <w:i/>
          <w:color w:val="00B050"/>
          <w:sz w:val="18"/>
          <w:szCs w:val="18"/>
        </w:rPr>
      </w:pPr>
      <w:r w:rsidRPr="006C21AD">
        <w:rPr>
          <w:rFonts w:ascii="Tahoma" w:hAnsi="Tahoma" w:cs="Tahoma"/>
          <w:b/>
          <w:i/>
          <w:color w:val="00B050"/>
          <w:sz w:val="18"/>
          <w:szCs w:val="18"/>
        </w:rPr>
        <w:t>День Конституции в Беларуси — государственный праздник. Первая Конституция Советской Социалистической Республики Белоруссии (ССРБ) была принята на I съезде Советов Белоруссии 3 февраля 1919 года. Ее содержание было пронизано идеей диктатуры пролетариата, которая и была непосредственно закреплена в Конституции. Позже она неоднократно менялась.</w:t>
      </w:r>
    </w:p>
    <w:p w:rsidR="006C21AD" w:rsidRPr="006C21AD" w:rsidRDefault="006C21AD" w:rsidP="006C21AD">
      <w:pPr>
        <w:pStyle w:val="a9"/>
        <w:ind w:firstLine="567"/>
        <w:rPr>
          <w:rFonts w:ascii="Tahoma" w:hAnsi="Tahoma" w:cs="Tahoma"/>
          <w:b/>
          <w:i/>
          <w:color w:val="00B050"/>
          <w:sz w:val="18"/>
          <w:szCs w:val="18"/>
        </w:rPr>
      </w:pPr>
      <w:r w:rsidRPr="006C21AD">
        <w:rPr>
          <w:rFonts w:ascii="Tahoma" w:hAnsi="Tahoma" w:cs="Tahoma"/>
          <w:b/>
          <w:i/>
          <w:color w:val="00B050"/>
          <w:sz w:val="18"/>
          <w:szCs w:val="18"/>
        </w:rPr>
        <w:t>27 июля 1990 года была принята Декларация Верховного Совета «О государственном суверенитете Республики Беларусь». Декларация провозгласила «полный государственный суверенитет Республики Беларусь как верховенство,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отношениях».</w:t>
      </w:r>
    </w:p>
    <w:p w:rsidR="006C21AD" w:rsidRPr="006C21AD" w:rsidRDefault="006C21AD" w:rsidP="006C21AD">
      <w:pPr>
        <w:pStyle w:val="a9"/>
        <w:ind w:firstLine="567"/>
        <w:rPr>
          <w:rFonts w:ascii="Tahoma" w:hAnsi="Tahoma" w:cs="Tahoma"/>
          <w:b/>
          <w:i/>
          <w:color w:val="00B050"/>
          <w:sz w:val="18"/>
          <w:szCs w:val="18"/>
        </w:rPr>
      </w:pPr>
      <w:r w:rsidRPr="006C21AD">
        <w:rPr>
          <w:rFonts w:ascii="Tahoma" w:hAnsi="Tahoma" w:cs="Tahoma"/>
          <w:b/>
          <w:i/>
          <w:color w:val="00B050"/>
          <w:sz w:val="18"/>
          <w:szCs w:val="18"/>
        </w:rPr>
        <w:t>В дальнейшем, 25 августа 1991 года, Декларации о государственном суверенитете специальным законом был придан статус конституционного закона, на основании которого были внесены изменения и дополнения в Конституцию 1978 года.</w:t>
      </w:r>
    </w:p>
    <w:p w:rsidR="006C21AD" w:rsidRPr="006C21AD" w:rsidRDefault="006C21AD" w:rsidP="006C21AD">
      <w:pPr>
        <w:pStyle w:val="a9"/>
        <w:ind w:firstLine="567"/>
        <w:rPr>
          <w:rFonts w:ascii="Tahoma" w:hAnsi="Tahoma" w:cs="Tahoma"/>
          <w:b/>
          <w:i/>
          <w:color w:val="00B050"/>
          <w:sz w:val="18"/>
          <w:szCs w:val="18"/>
        </w:rPr>
      </w:pPr>
      <w:r w:rsidRPr="006C21AD">
        <w:rPr>
          <w:rFonts w:ascii="Tahoma" w:hAnsi="Tahoma" w:cs="Tahoma"/>
          <w:b/>
          <w:i/>
          <w:color w:val="00B050"/>
          <w:sz w:val="18"/>
          <w:szCs w:val="18"/>
        </w:rPr>
        <w:t>В таких правовых и политических условиях велась разработка новой Конституции Республики Беларусь, которая была принята 15 марта 1994 года.</w:t>
      </w:r>
    </w:p>
    <w:p w:rsidR="006C21AD" w:rsidRPr="006C21AD" w:rsidRDefault="006C21AD" w:rsidP="006C21AD">
      <w:pPr>
        <w:pStyle w:val="a9"/>
        <w:ind w:firstLine="567"/>
        <w:rPr>
          <w:rFonts w:ascii="Tahoma" w:hAnsi="Tahoma" w:cs="Tahoma"/>
          <w:b/>
          <w:i/>
          <w:color w:val="00B050"/>
          <w:sz w:val="18"/>
          <w:szCs w:val="18"/>
        </w:rPr>
      </w:pPr>
      <w:r w:rsidRPr="006C21AD">
        <w:rPr>
          <w:rFonts w:ascii="Tahoma" w:hAnsi="Tahoma" w:cs="Tahoma"/>
          <w:b/>
          <w:i/>
          <w:color w:val="00B050"/>
          <w:sz w:val="18"/>
          <w:szCs w:val="18"/>
        </w:rPr>
        <w:t>Конституция Республики Беларусь состоит из преамбулы, 9 разделов, в которых 8 глав и 146 статей.</w:t>
      </w:r>
    </w:p>
    <w:p w:rsidR="006C21AD" w:rsidRPr="006C21AD" w:rsidRDefault="006C21AD" w:rsidP="006C21AD">
      <w:pPr>
        <w:pStyle w:val="a9"/>
        <w:ind w:firstLine="567"/>
        <w:rPr>
          <w:rFonts w:ascii="Tahoma" w:hAnsi="Tahoma" w:cs="Tahoma"/>
          <w:b/>
          <w:i/>
          <w:color w:val="00B050"/>
          <w:sz w:val="18"/>
          <w:szCs w:val="18"/>
        </w:rPr>
      </w:pPr>
      <w:r w:rsidRPr="006C21AD">
        <w:rPr>
          <w:rFonts w:ascii="Tahoma" w:hAnsi="Tahoma" w:cs="Tahoma"/>
          <w:b/>
          <w:i/>
          <w:color w:val="00B050"/>
          <w:sz w:val="18"/>
          <w:szCs w:val="18"/>
        </w:rPr>
        <w:t>24 ноября 1996 года по результатам народного референдума в Конституцию РБ были внесены дополнения, а 17 октября 2004 года на референдуме из Конституции было изъято положение, ограничивающее право одного лица избираться президентом более чем на два срока подряд.</w:t>
      </w:r>
    </w:p>
    <w:p w:rsidR="006C21AD" w:rsidRPr="006C21AD" w:rsidRDefault="006C21AD" w:rsidP="006C21AD">
      <w:pPr>
        <w:pStyle w:val="a9"/>
        <w:ind w:firstLine="567"/>
        <w:rPr>
          <w:rFonts w:ascii="Tahoma" w:hAnsi="Tahoma" w:cs="Tahoma"/>
          <w:b/>
          <w:i/>
          <w:color w:val="00B050"/>
          <w:sz w:val="18"/>
          <w:szCs w:val="18"/>
        </w:rPr>
      </w:pPr>
      <w:r w:rsidRPr="006C21AD">
        <w:rPr>
          <w:rFonts w:ascii="Tahoma" w:hAnsi="Tahoma" w:cs="Tahoma"/>
          <w:b/>
          <w:i/>
          <w:color w:val="00B050"/>
          <w:sz w:val="18"/>
          <w:szCs w:val="18"/>
        </w:rPr>
        <w:t> </w:t>
      </w:r>
    </w:p>
    <w:p w:rsidR="006C21AD" w:rsidRPr="003F6CB9" w:rsidRDefault="006C21AD" w:rsidP="003F6CB9">
      <w:pPr>
        <w:pStyle w:val="a9"/>
        <w:rPr>
          <w:rFonts w:ascii="Tahoma" w:hAnsi="Tahoma" w:cs="Tahoma"/>
          <w:b/>
          <w:i/>
          <w:color w:val="00B050"/>
          <w:sz w:val="16"/>
          <w:szCs w:val="16"/>
        </w:rPr>
      </w:pPr>
      <w:r w:rsidRPr="003F6CB9">
        <w:rPr>
          <w:rStyle w:val="a5"/>
          <w:rFonts w:ascii="Tahoma" w:hAnsi="Tahoma" w:cs="Tahoma"/>
          <w:i/>
          <w:color w:val="00B050"/>
          <w:sz w:val="16"/>
          <w:szCs w:val="16"/>
        </w:rPr>
        <w:t>Содержание Конституции Республики Беларусь</w:t>
      </w:r>
    </w:p>
    <w:p w:rsidR="006C21AD" w:rsidRPr="003F6CB9" w:rsidRDefault="006C21AD" w:rsidP="003F6CB9">
      <w:pPr>
        <w:pStyle w:val="a9"/>
        <w:rPr>
          <w:rFonts w:ascii="Tahoma" w:hAnsi="Tahoma" w:cs="Tahoma"/>
          <w:b/>
          <w:i/>
          <w:color w:val="00B050"/>
          <w:sz w:val="16"/>
          <w:szCs w:val="16"/>
        </w:rPr>
      </w:pPr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В Преамбуле Конституции сформулированы основные идеи и принципы, которыми должны руководствоваться народ и власть в процессе государственного строительства и общественного развития. Это ответственность за настоящее состояние и будущее Беларуси; осознание себя полноправным субъектом мирового сообщества, неотъемлемое право на самоопределение; опора на многовековую историю развития белорусской государственности; утверждение прав и свобод каждого гражданина; обеспечение гражданского согласия и незыблемых устоев народовластия и правового государства.</w:t>
      </w:r>
    </w:p>
    <w:p w:rsidR="006C21AD" w:rsidRPr="003F6CB9" w:rsidRDefault="006C21AD" w:rsidP="003F6CB9">
      <w:pPr>
        <w:pStyle w:val="a9"/>
        <w:rPr>
          <w:rFonts w:ascii="Tahoma" w:hAnsi="Tahoma" w:cs="Tahoma"/>
          <w:b/>
          <w:i/>
          <w:color w:val="00B050"/>
          <w:sz w:val="16"/>
          <w:szCs w:val="16"/>
        </w:rPr>
      </w:pPr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В первом разделе Конституции "Основы конституционного строя" дается характеристика белорусского государства</w:t>
      </w:r>
      <w:r w:rsidRPr="003F6CB9">
        <w:rPr>
          <w:rStyle w:val="apple-converted-space"/>
          <w:rFonts w:ascii="Tahoma" w:hAnsi="Tahoma" w:cs="Tahoma"/>
          <w:b/>
          <w:i/>
          <w:color w:val="00B050"/>
          <w:sz w:val="16"/>
          <w:szCs w:val="16"/>
        </w:rPr>
        <w:t> </w:t>
      </w:r>
      <w:r w:rsidRPr="003F6CB9">
        <w:rPr>
          <w:rFonts w:ascii="Tahoma" w:hAnsi="Tahoma" w:cs="Tahoma"/>
          <w:b/>
          <w:i/>
          <w:noProof/>
          <w:color w:val="00B05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CCD02B7" wp14:editId="0FEE1155">
            <wp:simplePos x="1114425" y="5981700"/>
            <wp:positionH relativeFrom="margin">
              <wp:align>left</wp:align>
            </wp:positionH>
            <wp:positionV relativeFrom="margin">
              <wp:align>center</wp:align>
            </wp:positionV>
            <wp:extent cx="2524125" cy="1666875"/>
            <wp:effectExtent l="0" t="0" r="9525" b="9525"/>
            <wp:wrapSquare wrapText="bothSides"/>
            <wp:docPr id="2" name="Рисунок 2" descr="http://content.schools.by/ddu63grodno/library/governmen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schools.by/ddu63grodno/library/government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как унитарного демократического социального правового, закреплена взаимная ответственность гражданина и государства.</w:t>
      </w:r>
    </w:p>
    <w:p w:rsidR="006C21AD" w:rsidRPr="003F6CB9" w:rsidRDefault="006C21AD" w:rsidP="003F6CB9">
      <w:pPr>
        <w:pStyle w:val="a9"/>
        <w:rPr>
          <w:rFonts w:ascii="Tahoma" w:hAnsi="Tahoma" w:cs="Tahoma"/>
          <w:b/>
          <w:i/>
          <w:color w:val="00B050"/>
          <w:sz w:val="16"/>
          <w:szCs w:val="16"/>
        </w:rPr>
      </w:pPr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 xml:space="preserve">Во втором разделе "Личность, общество, государство" закрепляются личные, политические, социально-экономические и культурные права и свободы граждан, определяются обязанности граждан, ответственность государства перед обществом и личностью, его обязанность обеспечить материальные гарантии и возможности для полного осуществления прав и свобод </w:t>
      </w:r>
      <w:proofErr w:type="spell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граждан</w:t>
      </w:r>
      <w:proofErr w:type="gram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.Т</w:t>
      </w:r>
      <w:proofErr w:type="gramEnd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ретий</w:t>
      </w:r>
      <w:proofErr w:type="spellEnd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 xml:space="preserve"> раздел "Избирательная система. Референдум" закрепляет основные принципы избирательной системы, устанавливает порядок проведения республиканских и местных </w:t>
      </w:r>
      <w:proofErr w:type="spell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референдумов</w:t>
      </w:r>
      <w:proofErr w:type="gram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.В</w:t>
      </w:r>
      <w:proofErr w:type="spellEnd"/>
      <w:proofErr w:type="gramEnd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 xml:space="preserve"> четвертом разделе "Президент, Парламент, Правительство, Суд" определяются статус и полномочия Президента; порядок формирования, состав, компетенция, формы и методы деятельности органов государственной власти, определяется структура судебной власти и принципы осуществления правосудия в </w:t>
      </w:r>
      <w:proofErr w:type="spell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республике</w:t>
      </w:r>
      <w:proofErr w:type="gram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.П</w:t>
      </w:r>
      <w:proofErr w:type="gramEnd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ятый</w:t>
      </w:r>
      <w:proofErr w:type="spellEnd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 xml:space="preserve"> раздел "Местное управление и самоуправление" определяет, через какие структуры гражданами осуществляется местное управление и самоуправление, их статус и </w:t>
      </w:r>
      <w:proofErr w:type="spell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полномочия.В</w:t>
      </w:r>
      <w:proofErr w:type="spellEnd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 xml:space="preserve"> шестом разделе "Прокуратура. Комитет государственного контроля" содержатся нормы, регламентирующие деятельность двух государственных органов - Прокуратуры и Комитета государственного </w:t>
      </w:r>
      <w:proofErr w:type="spell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контроля</w:t>
      </w:r>
      <w:proofErr w:type="gram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.В</w:t>
      </w:r>
      <w:proofErr w:type="spellEnd"/>
      <w:proofErr w:type="gramEnd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 xml:space="preserve"> седьмом разделе "Финансово-кредитная система Республики Беларусь" устанавливается, что на территории республики проводится единая бюджетно-финансовая, налоговая, денежно-кредитная и валютная политика, определяется порядок формирования доходов бюджета, осуществление общегосударственных расходов, составления, утверждения и исполнения бюджетов и государственных внебюджетных </w:t>
      </w:r>
      <w:proofErr w:type="spell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фондов.Восьмой</w:t>
      </w:r>
      <w:proofErr w:type="spellEnd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 xml:space="preserve"> раздел "Действие Конституции Республики Беларусь и порядок ее изменения" определяет место и роль Конституции, формирование всей правовой системы с учетом иерархии нормативных актов, а также раскрывает вопросы действия Конституции и порядок ее </w:t>
      </w:r>
      <w:proofErr w:type="spell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изменения</w:t>
      </w:r>
      <w:proofErr w:type="gramStart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."</w:t>
      </w:r>
      <w:proofErr w:type="gramEnd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Заключительные</w:t>
      </w:r>
      <w:proofErr w:type="spellEnd"/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 xml:space="preserve"> и переходные положения" содержатся в последнем, девятом, разделе Конституции. В нем обозначены правовые средства для обеспечения перехода к реализации тех норм, которые не могут быть исполнены сразу с введением в действие Конституции, а также содержатся нормы, посвященные особенностям формирования, сохранения полномочий ранее созданных и вновь предусмотренных государственных органов.</w:t>
      </w:r>
    </w:p>
    <w:p w:rsidR="006C21AD" w:rsidRPr="003F6CB9" w:rsidRDefault="006C21AD" w:rsidP="003F6CB9">
      <w:pPr>
        <w:pStyle w:val="a9"/>
        <w:rPr>
          <w:rFonts w:ascii="Tahoma" w:hAnsi="Tahoma" w:cs="Tahoma"/>
          <w:b/>
          <w:i/>
          <w:color w:val="00B050"/>
          <w:sz w:val="16"/>
          <w:szCs w:val="16"/>
        </w:rPr>
      </w:pPr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Конституция Республики Беларусь воплотила в себе преемственность и опыт многовекового исторического пути Беларуси, ознаменовала новый этап в политическом и социально-экономическом развитии страны. Она основывается на неотъемлемом суверенном праве белорусского народа иметь свою государственность и быть полноправным субъектом мирового сообщества. В Конституции Республики Беларусь нашел отражение опыт конституционного строительства таких государств, как Австрия, Бельгия, Дания, Италия, США, Франция, ФРГ, Швеция и других стран с учетом особенностей условий развития нашего общества и его исторических традиций.</w:t>
      </w:r>
    </w:p>
    <w:p w:rsidR="006C21AD" w:rsidRPr="003F6CB9" w:rsidRDefault="006C21AD" w:rsidP="003F6CB9">
      <w:pPr>
        <w:pStyle w:val="a9"/>
        <w:ind w:firstLine="426"/>
        <w:rPr>
          <w:rFonts w:ascii="Tahoma" w:hAnsi="Tahoma" w:cs="Tahoma"/>
          <w:b/>
          <w:i/>
          <w:color w:val="00B050"/>
          <w:sz w:val="16"/>
          <w:szCs w:val="16"/>
        </w:rPr>
      </w:pPr>
      <w:r w:rsidRPr="003F6CB9">
        <w:rPr>
          <w:rFonts w:ascii="Tahoma" w:hAnsi="Tahoma" w:cs="Tahoma"/>
          <w:b/>
          <w:i/>
          <w:color w:val="00B050"/>
          <w:sz w:val="16"/>
          <w:szCs w:val="16"/>
        </w:rPr>
        <w:t>Белорусская Конституция гарантирует каждому гражданину свободы и права, необходимые для созидательного труда, достойной жизни и гармоничного всестороннего развития личности.</w:t>
      </w:r>
    </w:p>
    <w:p w:rsidR="006C21AD" w:rsidRPr="003F6CB9" w:rsidRDefault="00EC7E31" w:rsidP="003F6CB9">
      <w:pPr>
        <w:pStyle w:val="a9"/>
        <w:rPr>
          <w:rFonts w:ascii="Tahoma" w:hAnsi="Tahoma" w:cs="Tahoma"/>
          <w:b/>
          <w:i/>
          <w:color w:val="00B050"/>
          <w:sz w:val="16"/>
          <w:szCs w:val="16"/>
        </w:rPr>
      </w:pPr>
      <w:hyperlink r:id="rId7" w:history="1">
        <w:r w:rsidR="006C21AD" w:rsidRPr="003F6CB9">
          <w:rPr>
            <w:rStyle w:val="a6"/>
            <w:rFonts w:ascii="Tahoma" w:hAnsi="Tahoma" w:cs="Tahoma"/>
            <w:b/>
            <w:i/>
            <w:color w:val="00B050"/>
            <w:sz w:val="16"/>
            <w:szCs w:val="16"/>
          </w:rPr>
          <w:t>Полный текст Конституции Республики Беларусь</w:t>
        </w:r>
      </w:hyperlink>
      <w:r w:rsidR="006C21AD" w:rsidRPr="003F6CB9">
        <w:rPr>
          <w:rStyle w:val="apple-converted-space"/>
          <w:rFonts w:ascii="Tahoma" w:hAnsi="Tahoma" w:cs="Tahoma"/>
          <w:b/>
          <w:i/>
          <w:color w:val="00B050"/>
          <w:sz w:val="16"/>
          <w:szCs w:val="16"/>
        </w:rPr>
        <w:t> </w:t>
      </w:r>
      <w:r w:rsidR="006C21AD" w:rsidRPr="003F6CB9">
        <w:rPr>
          <w:rFonts w:ascii="Tahoma" w:hAnsi="Tahoma" w:cs="Tahoma"/>
          <w:b/>
          <w:i/>
          <w:color w:val="00B050"/>
          <w:sz w:val="16"/>
          <w:szCs w:val="16"/>
        </w:rPr>
        <w:t>размещен на портале Национального центра правовой информации Республики Беларусь</w:t>
      </w:r>
    </w:p>
    <w:p w:rsidR="00EC7E31" w:rsidRPr="00F30DE5" w:rsidRDefault="00EC7E31" w:rsidP="00EC7E31">
      <w:pPr>
        <w:pStyle w:val="a9"/>
        <w:jc w:val="right"/>
        <w:rPr>
          <w:rFonts w:ascii="Times New Roman" w:hAnsi="Times New Roman" w:cs="Times New Roman"/>
          <w:color w:val="632423" w:themeColor="accent2" w:themeShade="80"/>
          <w:sz w:val="30"/>
          <w:szCs w:val="30"/>
        </w:rPr>
      </w:pPr>
      <w:r>
        <w:rPr>
          <w:rFonts w:ascii="Open Sans" w:hAnsi="Open Sans"/>
          <w:sz w:val="26"/>
          <w:szCs w:val="26"/>
        </w:rPr>
        <w:lastRenderedPageBreak/>
        <w:t>Томашова Е. К.</w:t>
      </w:r>
    </w:p>
    <w:p w:rsidR="006C21AD" w:rsidRPr="003F6CB9" w:rsidRDefault="006C21AD" w:rsidP="003F6CB9">
      <w:pPr>
        <w:pStyle w:val="a9"/>
        <w:rPr>
          <w:b/>
          <w:i/>
          <w:color w:val="00B050"/>
          <w:sz w:val="16"/>
          <w:szCs w:val="16"/>
        </w:rPr>
      </w:pPr>
      <w:bookmarkStart w:id="0" w:name="_GoBack"/>
      <w:bookmarkEnd w:id="0"/>
    </w:p>
    <w:sectPr w:rsidR="006C21AD" w:rsidRPr="003F6CB9" w:rsidSect="00466AC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A"/>
    <w:rsid w:val="00003692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74C80"/>
    <w:rsid w:val="001A7E1D"/>
    <w:rsid w:val="001B3719"/>
    <w:rsid w:val="001C5753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E605F"/>
    <w:rsid w:val="003E79D9"/>
    <w:rsid w:val="003F0C69"/>
    <w:rsid w:val="003F6CB9"/>
    <w:rsid w:val="00434C97"/>
    <w:rsid w:val="0044115E"/>
    <w:rsid w:val="004452FA"/>
    <w:rsid w:val="004617BA"/>
    <w:rsid w:val="00466ACF"/>
    <w:rsid w:val="0049006B"/>
    <w:rsid w:val="004B2471"/>
    <w:rsid w:val="004B5941"/>
    <w:rsid w:val="004B7E41"/>
    <w:rsid w:val="004C0ECD"/>
    <w:rsid w:val="004D669F"/>
    <w:rsid w:val="004E48EC"/>
    <w:rsid w:val="004E5244"/>
    <w:rsid w:val="004F54B1"/>
    <w:rsid w:val="004F566A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C21AD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C7E31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21AD"/>
    <w:rPr>
      <w:b/>
      <w:bCs/>
    </w:rPr>
  </w:style>
  <w:style w:type="character" w:customStyle="1" w:styleId="apple-converted-space">
    <w:name w:val="apple-converted-space"/>
    <w:basedOn w:val="a0"/>
    <w:rsid w:val="006C21AD"/>
  </w:style>
  <w:style w:type="character" w:styleId="a6">
    <w:name w:val="Hyperlink"/>
    <w:basedOn w:val="a0"/>
    <w:uiPriority w:val="99"/>
    <w:semiHidden/>
    <w:unhideWhenUsed/>
    <w:rsid w:val="006C21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1A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C21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21AD"/>
    <w:rPr>
      <w:b/>
      <w:bCs/>
    </w:rPr>
  </w:style>
  <w:style w:type="character" w:customStyle="1" w:styleId="apple-converted-space">
    <w:name w:val="apple-converted-space"/>
    <w:basedOn w:val="a0"/>
    <w:rsid w:val="006C21AD"/>
  </w:style>
  <w:style w:type="character" w:styleId="a6">
    <w:name w:val="Hyperlink"/>
    <w:basedOn w:val="a0"/>
    <w:uiPriority w:val="99"/>
    <w:semiHidden/>
    <w:unhideWhenUsed/>
    <w:rsid w:val="006C21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1A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C2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by/main.aspx?guid=63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cp:lastPrinted>2016-05-01T14:48:00Z</cp:lastPrinted>
  <dcterms:created xsi:type="dcterms:W3CDTF">2016-05-01T12:35:00Z</dcterms:created>
  <dcterms:modified xsi:type="dcterms:W3CDTF">2021-03-24T18:46:00Z</dcterms:modified>
</cp:coreProperties>
</file>