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2F" w:rsidRDefault="0080722F" w:rsidP="0080722F">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Памятка для</w:t>
      </w:r>
      <w:r>
        <w:rPr>
          <w:color w:val="111111"/>
          <w:sz w:val="27"/>
          <w:szCs w:val="27"/>
        </w:rPr>
        <w:t> </w:t>
      </w:r>
      <w:r>
        <w:rPr>
          <w:rStyle w:val="a4"/>
          <w:color w:val="111111"/>
          <w:sz w:val="27"/>
          <w:szCs w:val="27"/>
        </w:rPr>
        <w:t>родителей</w:t>
      </w:r>
    </w:p>
    <w:p w:rsidR="0080722F" w:rsidRDefault="0080722F" w:rsidP="0080722F">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"Ответственность родителей</w:t>
      </w:r>
      <w:r>
        <w:rPr>
          <w:color w:val="111111"/>
          <w:sz w:val="27"/>
          <w:szCs w:val="27"/>
        </w:rPr>
        <w:t> </w:t>
      </w:r>
      <w:r>
        <w:rPr>
          <w:rStyle w:val="a4"/>
          <w:color w:val="111111"/>
          <w:sz w:val="27"/>
          <w:szCs w:val="27"/>
        </w:rPr>
        <w:t>за совершение насилия</w:t>
      </w:r>
    </w:p>
    <w:p w:rsidR="0080722F" w:rsidRDefault="0080722F" w:rsidP="0080722F">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в отношении несовершеннолетнего"</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В белорусском законодательстве насилие рассматривается как весьма сложное явление, хотя в уголовном праве республики выделяется два вида насилия: физическое и психическое. 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            Закон РБ «О правах ребенка»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Эта же мера закреплена в Кодексе РБ о браке и семье,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Защита ребенка от различных форм насилия предусмотрена также нормами Кодекса РБ об административных правонарушениях (КРБоАП) и Уголовного кодекса (УК).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 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lastRenderedPageBreak/>
        <w:t>- опасные для жизни и здоровья (оставление в опасности; заражение венерической болезнью, СПИДом; невыполнение обязанностей по воспитанию и обучению детей и др.);</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нарушающие нормальное половое развитие (изнасилование; насильственные действия сексуального характера; развратные действия и др.);</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КРБоАП).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КРБоАП).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КРБоАП).</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Если же последствия оказались более тяжелыми, в действие вступает УК, в котором устанавливает наказание за нанесение ребенку 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менее тяжких, не опасных для жизни, но вызвавших расстройство здоровья на срок от 3 недель до 4 месяцев (ст. 149 УК).</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 xml:space="preserve">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w:t>
      </w:r>
      <w:r>
        <w:rPr>
          <w:color w:val="111111"/>
        </w:rPr>
        <w:lastRenderedPageBreak/>
        <w:t>помещении и т.д. Истязания осуществляются только умышленно, т.е. лицо старше 16 лет должно осознавать, что причиняет боль и страдания.</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не сообщение в соответствующие учреждения или компетентным лицам о требуемой помощи. Например, ели родители или лица, их заменяющие, не в состоянии сами вылечить тяжело больного ребенка и не обращаются к медицинским работникам.</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дисфункциональных, и в “нормальных” семьях.</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lastRenderedPageBreak/>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т.ч.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80722F" w:rsidRDefault="0080722F" w:rsidP="0080722F">
      <w:pPr>
        <w:pStyle w:val="a3"/>
        <w:shd w:val="clear" w:color="auto" w:fill="FFFFFF"/>
        <w:spacing w:before="150" w:beforeAutospacing="0" w:after="180" w:afterAutospacing="0"/>
        <w:jc w:val="both"/>
        <w:rPr>
          <w:rFonts w:ascii="Tahoma" w:hAnsi="Tahoma" w:cs="Tahoma"/>
          <w:color w:val="111111"/>
          <w:sz w:val="18"/>
          <w:szCs w:val="18"/>
        </w:rPr>
      </w:pPr>
      <w:r>
        <w:rPr>
          <w:color w:val="111111"/>
        </w:rPr>
        <w:t>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выгоды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6E7406" w:rsidRDefault="006E7406">
      <w:bookmarkStart w:id="0" w:name="_GoBack"/>
      <w:bookmarkEnd w:id="0"/>
    </w:p>
    <w:sectPr w:rsidR="006E7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2F"/>
    <w:rsid w:val="006E7406"/>
    <w:rsid w:val="0080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7906-9EE5-45C0-81B1-73D7A64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2020-02-26T19:32:00Z</dcterms:created>
  <dcterms:modified xsi:type="dcterms:W3CDTF">2020-02-26T19:33:00Z</dcterms:modified>
</cp:coreProperties>
</file>