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01" w:rsidRDefault="00C73001" w:rsidP="00C73001">
      <w:pPr>
        <w:shd w:val="clear" w:color="auto" w:fill="F7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 xml:space="preserve">Изменения в правилах аттестации 11-классников, </w:t>
      </w:r>
    </w:p>
    <w:p w:rsidR="00C73001" w:rsidRPr="00C73001" w:rsidRDefault="00C73001" w:rsidP="00C73001">
      <w:pPr>
        <w:shd w:val="clear" w:color="auto" w:fill="F7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>проведение централизованного экзамена</w:t>
      </w:r>
    </w:p>
    <w:p w:rsidR="00C73001" w:rsidRPr="00C73001" w:rsidRDefault="00C73001" w:rsidP="00C73001">
      <w:pPr>
        <w:shd w:val="clear" w:color="auto" w:fill="F7FCFF"/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ab/>
      </w:r>
      <w:r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Постановление Министерства образования от 11 июля 2022 г. № 184 «</w:t>
      </w:r>
      <w:hyperlink r:id="rId5" w:history="1">
        <w:r w:rsidRPr="00C73001">
          <w:rPr>
            <w:rFonts w:ascii="Times New Roman" w:eastAsia="Times New Roman" w:hAnsi="Times New Roman" w:cs="Times New Roman"/>
            <w:b/>
            <w:bCs/>
            <w:color w:val="003366"/>
            <w:sz w:val="30"/>
            <w:szCs w:val="30"/>
            <w:u w:val="single"/>
          </w:rPr>
          <w:t>Об аттестации учащихся при освоении содержания образовательных программ общего среднего образования</w:t>
        </w:r>
      </w:hyperlink>
      <w:r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».</w:t>
      </w: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Правовым актом утверждены:</w:t>
      </w:r>
    </w:p>
    <w:p w:rsidR="00C73001" w:rsidRPr="00C73001" w:rsidRDefault="00C73001" w:rsidP="00C73001">
      <w:pPr>
        <w:numPr>
          <w:ilvl w:val="0"/>
          <w:numId w:val="2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Правила проведения аттестации учащихся при освоении содержания образовательных программ общего среднего образования;</w:t>
      </w:r>
    </w:p>
    <w:p w:rsidR="00C73001" w:rsidRPr="00C73001" w:rsidRDefault="00C73001" w:rsidP="00C73001">
      <w:pPr>
        <w:numPr>
          <w:ilvl w:val="0"/>
          <w:numId w:val="2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Инструкция по организации и проведению централизованного экзамена.</w:t>
      </w: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Правилами определены: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порядок и формы проведения аттестации учащихся;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виды итоговой аттестации учащихся при освоении содержания образовательных программ общего среднего образования;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порядок перевода в следующий класс;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нормы оценки результатов учебной деятельности учащихся по учебным предметам (модулям);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условия и порядок допуска учащихся к итоговой аттестации по завершении обучения и воспитания на II и III ступенях общего среднего образования;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основания для освобождения учащихся от итоговых испытаний;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предоставления права прохождения итоговой аттестации в иные сроки;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порядок пересмотра годовой отметки;</w:t>
      </w:r>
    </w:p>
    <w:p w:rsidR="00C73001" w:rsidRPr="00C73001" w:rsidRDefault="00C73001" w:rsidP="00C73001">
      <w:pPr>
        <w:numPr>
          <w:ilvl w:val="0"/>
          <w:numId w:val="3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создания и функционирования комиссий, участвующих в проведении итоговой аттестации при освоении содержания образовательных программ общего среднего образования.</w:t>
      </w: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ab/>
      </w:r>
      <w:r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Это касается освоения содержания образовательных программ общего среднего образования в:</w:t>
      </w:r>
    </w:p>
    <w:p w:rsidR="00C73001" w:rsidRPr="00C73001" w:rsidRDefault="00C73001" w:rsidP="00C73001">
      <w:pPr>
        <w:numPr>
          <w:ilvl w:val="0"/>
          <w:numId w:val="4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учреждениях общего среднего образования;</w:t>
      </w:r>
    </w:p>
    <w:p w:rsidR="00C73001" w:rsidRPr="00C73001" w:rsidRDefault="00C73001" w:rsidP="00C73001">
      <w:pPr>
        <w:numPr>
          <w:ilvl w:val="0"/>
          <w:numId w:val="4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специальных учебно-воспитательных учреждениях;</w:t>
      </w:r>
    </w:p>
    <w:p w:rsidR="00C73001" w:rsidRPr="00C73001" w:rsidRDefault="00C73001" w:rsidP="00C73001">
      <w:pPr>
        <w:numPr>
          <w:ilvl w:val="0"/>
          <w:numId w:val="4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специальных лечебно-воспитательных учреждениях;</w:t>
      </w:r>
    </w:p>
    <w:p w:rsidR="00C73001" w:rsidRPr="00C73001" w:rsidRDefault="00C73001" w:rsidP="00C73001">
      <w:pPr>
        <w:numPr>
          <w:ilvl w:val="0"/>
          <w:numId w:val="4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образовательно-оздоровительных центрах;</w:t>
      </w:r>
    </w:p>
    <w:p w:rsidR="00C73001" w:rsidRPr="00C73001" w:rsidRDefault="00C73001" w:rsidP="00C73001">
      <w:pPr>
        <w:numPr>
          <w:ilvl w:val="0"/>
          <w:numId w:val="4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филиалах государственных колледжей,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дел;</w:t>
      </w:r>
    </w:p>
    <w:p w:rsidR="00C73001" w:rsidRPr="00C73001" w:rsidRDefault="00C73001" w:rsidP="00C73001">
      <w:pPr>
        <w:numPr>
          <w:ilvl w:val="0"/>
          <w:numId w:val="4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университетах;</w:t>
      </w:r>
    </w:p>
    <w:p w:rsidR="00C73001" w:rsidRPr="00C73001" w:rsidRDefault="00C73001" w:rsidP="00C73001">
      <w:pPr>
        <w:numPr>
          <w:ilvl w:val="0"/>
          <w:numId w:val="4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академиях.</w:t>
      </w: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ab/>
      </w: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В частности, Правилами установлено, что результаты в учебной деятельности учащихся при освоении содержания образовательных программ общего среднего образования (исключение – учащиеся I-II классов, учащиеся III-IV классов)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оцениваются на основе отметок в баллах по десятибалльной шкале, либо отметок «зачтено», «не зачтено», «не аттестован(а)», или записей «освобожден(а)», «не изучал(а)».</w:t>
      </w: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ab/>
      </w:r>
      <w:r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Положительными</w:t>
      </w: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 являются отметки от 3 (трех) до 10 (десяти) баллов: 3, 4, 5, 6, 7, 8, 9, 10, «зачтено» и записи «освобожден(а)», «не изучал(а)», </w:t>
      </w:r>
      <w:r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неудовлетворительными</w:t>
      </w: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 – отметки «1» (один), «2» (два) балла, «не зачтено», «не аттестован(а)».</w:t>
      </w: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Результаты учебной деятельности учащихся I-II классов, учащихся III-IV классов по учебным предметам «Музыка», «Изобразительное искусство», «Трудовое обучение», «Физическая культура и здоровье», «Основы безопасности жизнедеятельности» оцениваются на содержательно-оценочной основе, которая предполагает словесную оценку результатов учебной деятельности учащихся, без выставления отметок.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Оценка результатов по учебным предметам (модулям) осуществляется в соответствии с установленными нормами.</w:t>
      </w:r>
    </w:p>
    <w:p w:rsidR="00C73001" w:rsidRPr="00C73001" w:rsidRDefault="00C73001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При этом для оценки результатов учебной деятельности учащихся выделяются следующие пять уровней учебной деятельности:</w:t>
      </w:r>
    </w:p>
    <w:p w:rsidR="00C73001" w:rsidRPr="00C73001" w:rsidRDefault="00C73001" w:rsidP="00C73001">
      <w:pPr>
        <w:numPr>
          <w:ilvl w:val="0"/>
          <w:numId w:val="5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первый уровень (низкий) – действия на узнавание, распознавание и различение понятий (объектов изучения), которые оцениваются отметками 1, 2 балла;</w:t>
      </w:r>
    </w:p>
    <w:p w:rsidR="00C73001" w:rsidRPr="00C73001" w:rsidRDefault="00C73001" w:rsidP="00C73001">
      <w:pPr>
        <w:numPr>
          <w:ilvl w:val="0"/>
          <w:numId w:val="5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второй уровень (удовлетворительный) – действия по воспроизведению учебного материала (объектов изучения) на уровне памяти, которые оцениваются отметками 3, 4 балла;</w:t>
      </w:r>
    </w:p>
    <w:p w:rsidR="00C73001" w:rsidRPr="00C73001" w:rsidRDefault="00C73001" w:rsidP="00C73001">
      <w:pPr>
        <w:numPr>
          <w:ilvl w:val="0"/>
          <w:numId w:val="5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третий уровень (средний) – действия по воспроизведению учебного материала (объектов изучения) на уровне понимания, описания и анализа действий с объектами изучения, которые оцениваются отметками 5, 6 баллов;</w:t>
      </w:r>
    </w:p>
    <w:p w:rsidR="00C73001" w:rsidRPr="00C73001" w:rsidRDefault="00C73001" w:rsidP="00C73001">
      <w:pPr>
        <w:numPr>
          <w:ilvl w:val="0"/>
          <w:numId w:val="5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четвертый уровень (достаточный) – действия по применению знаний в знакомой ситуации по образцу, объяснение сущности объектов изучения, выполнение действий с четко обозначенными правилами, применение знаний на основе обобщенного алгоритма для решения новой учебной задачи, которые оцениваются отметками 7, 8 баллов;</w:t>
      </w:r>
    </w:p>
    <w:p w:rsidR="00C73001" w:rsidRPr="00C73001" w:rsidRDefault="00C73001" w:rsidP="00C73001">
      <w:pPr>
        <w:numPr>
          <w:ilvl w:val="0"/>
          <w:numId w:val="5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пятый уровень (высокий) – действия по применению знаний в незнакомых, нестандартных ситуациях для решения качественно новых задач, самостоятельные действия по описанию, объяснению и </w:t>
      </w: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преобразованию объектов изучения, которые оцениваются отметками 9, 10 баллов.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По учебным предметам, по которым аттестация осуществляется с использованием отметок «зачтено», «не зачтено», выставляется:</w:t>
      </w:r>
    </w:p>
    <w:p w:rsidR="00C73001" w:rsidRPr="00C73001" w:rsidRDefault="00C73001" w:rsidP="00C73001">
      <w:pPr>
        <w:numPr>
          <w:ilvl w:val="0"/>
          <w:numId w:val="6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«зачтено», если учащийся выполняет действия, соответствующие второму, третьему, четвертому, пятому уровням учебной деятельности;</w:t>
      </w:r>
    </w:p>
    <w:p w:rsidR="00C73001" w:rsidRPr="00C73001" w:rsidRDefault="00C73001" w:rsidP="00C73001">
      <w:pPr>
        <w:numPr>
          <w:ilvl w:val="0"/>
          <w:numId w:val="6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«не зачтено», если учащийся выполняет действия, соответствующие первому уровню учебной деятельности.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Что касается </w:t>
      </w:r>
      <w:r w:rsidR="00C73001"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организации и проведения централизованного экзамена (ЦЭ)</w:t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, то согласно Инструкции он будет проводиться в единые сроки, ежегодно устанавливаемые Министерством образования, с использованием единых экзаменационных работ и бланков ответов.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Осуществлять методическое и организационное обеспечение проведения ЦЭ уполномочен Республиканский институт контроля знаний (РИКЗ).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За координацию подготовки и проведения ЦЭ в областях и г. Минске отвечают структурные подразделения областных (Минского городского) исполкомов, осуществляющие государственно-властные полномочия в сфере образования.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Организуют и проводят ЦЭ в учреждениях образования, определенных пунктами проведения ЦЭ в основные сроки, резервные дни, иные сроки, организационные комиссии.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Проведение ЦЭ в аудитории обеспечивают </w:t>
      </w:r>
      <w:proofErr w:type="spellStart"/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педработники</w:t>
      </w:r>
      <w:proofErr w:type="spellEnd"/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Документом установлено, что учащимся XI (XII) классов учреждений образования, реализующих образовательную программу среднего образования, образовательную программу специального образования на уровне общего среднего образования, лицам, допущенным к аттестации в порядке экстерната, </w:t>
      </w:r>
      <w:r w:rsidR="00C73001"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получившим на ЦЭ тестовый балл выше 0 (нуля) баллов по </w:t>
      </w:r>
      <w:proofErr w:type="spellStart"/>
      <w:r w:rsidR="00C73001"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стобалльной</w:t>
      </w:r>
      <w:proofErr w:type="spellEnd"/>
      <w:r w:rsidR="00C73001" w:rsidRPr="00C730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шкале, выдается сертификат</w:t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Сертификат действителен до конца календарного года, следующего за календарным годом, в котором был проведен ЦЭ.</w:t>
      </w:r>
    </w:p>
    <w:p w:rsidR="00C73001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Инструкцией определены в том числе требования к:</w:t>
      </w:r>
    </w:p>
    <w:p w:rsidR="00C73001" w:rsidRPr="00C73001" w:rsidRDefault="00C73001" w:rsidP="00301739">
      <w:pPr>
        <w:numPr>
          <w:ilvl w:val="0"/>
          <w:numId w:val="7"/>
        </w:numPr>
        <w:shd w:val="clear" w:color="auto" w:fill="F7FC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порядку организации, проведения ЦЭ, пакетирования, передачи, получения, транспортировки и использования экзаменационных материалов, регистрации для участия в ЦЭ, заполнения бланков ответов и их обработки, а также представления результатов и выдачи сертификатов ЦЭ;</w:t>
      </w:r>
    </w:p>
    <w:p w:rsidR="00C73001" w:rsidRPr="00C73001" w:rsidRDefault="00C73001" w:rsidP="00301739">
      <w:pPr>
        <w:numPr>
          <w:ilvl w:val="0"/>
          <w:numId w:val="7"/>
        </w:numPr>
        <w:shd w:val="clear" w:color="auto" w:fill="F7FC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>пунктам проведения ЦЭ, организационным комиссиям.</w:t>
      </w:r>
    </w:p>
    <w:p w:rsid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Ведомственное постановление от 20 июня 2011 г. № 38 «Об утверждении Правил проведения аттестации учащихся при освоении </w:t>
      </w:r>
      <w:r w:rsidR="00C73001" w:rsidRPr="00C7300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содержания образовательных программ общего среднего образования» признается утратившим силу.</w:t>
      </w:r>
    </w:p>
    <w:p w:rsidR="00301739" w:rsidRPr="00C73001" w:rsidRDefault="00301739" w:rsidP="00C73001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1739" w:rsidRDefault="00301739" w:rsidP="00C73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По информации Национального правового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proofErr w:type="spellStart"/>
      <w:r w:rsidR="00C73001" w:rsidRPr="00C7300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Интернет-портала</w:t>
      </w:r>
      <w:proofErr w:type="spellEnd"/>
      <w:r w:rsidR="00C73001" w:rsidRPr="00C7300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Республики Беларусь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</w:p>
    <w:p w:rsidR="00C73001" w:rsidRPr="00C73001" w:rsidRDefault="00301739" w:rsidP="003017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ab/>
      </w:r>
      <w:r w:rsidR="00C73001" w:rsidRPr="00C7300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>Источник: </w:t>
      </w:r>
      <w:hyperlink r:id="rId6" w:history="1">
        <w:r w:rsidR="00C73001" w:rsidRPr="00C73001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  <w:u w:val="single"/>
          </w:rPr>
          <w:t>https://pravo.by/novosti/novosti-pravo-</w:t>
        </w:r>
        <w:r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  <w:u w:val="single"/>
          </w:rPr>
          <w:tab/>
        </w:r>
        <w:r w:rsidRPr="00301739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</w:rPr>
          <w:tab/>
        </w:r>
        <w:r w:rsidRPr="00301739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</w:rPr>
          <w:tab/>
        </w:r>
        <w:r w:rsidRPr="00301739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</w:rPr>
          <w:tab/>
        </w:r>
        <w:r w:rsidRPr="00301739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</w:rPr>
          <w:tab/>
        </w:r>
        <w:proofErr w:type="spellStart"/>
        <w:r w:rsidR="00C73001" w:rsidRPr="00C73001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  <w:u w:val="single"/>
          </w:rPr>
          <w:t>by</w:t>
        </w:r>
        <w:proofErr w:type="spellEnd"/>
        <w:r w:rsidR="00C73001" w:rsidRPr="00C73001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  <w:u w:val="single"/>
          </w:rPr>
          <w:t>/2022/</w:t>
        </w:r>
        <w:proofErr w:type="spellStart"/>
        <w:r w:rsidR="00C73001" w:rsidRPr="00C73001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  <w:u w:val="single"/>
          </w:rPr>
          <w:t>septembe</w:t>
        </w:r>
        <w:r w:rsidR="00C73001" w:rsidRPr="00C73001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  <w:u w:val="single"/>
          </w:rPr>
          <w:t>r</w:t>
        </w:r>
        <w:proofErr w:type="spellEnd"/>
        <w:r w:rsidR="00C73001" w:rsidRPr="00C73001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  <w:u w:val="single"/>
          </w:rPr>
          <w:t>/71449/</w:t>
        </w:r>
      </w:hyperlink>
      <w:r w:rsidR="00C73001" w:rsidRPr="00C7300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 xml:space="preserve"> – Национальный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ab/>
      </w:r>
      <w:r w:rsidR="00C73001" w:rsidRPr="00C7300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</w:rPr>
        <w:t>правовой Интернет-портал Республики Беларусь</w:t>
      </w:r>
    </w:p>
    <w:sectPr w:rsidR="00C73001" w:rsidRPr="00C73001" w:rsidSect="00A0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20"/>
    <w:multiLevelType w:val="multilevel"/>
    <w:tmpl w:val="E3A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E7D04"/>
    <w:multiLevelType w:val="multilevel"/>
    <w:tmpl w:val="C17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23F6E"/>
    <w:multiLevelType w:val="multilevel"/>
    <w:tmpl w:val="332E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51A7B"/>
    <w:multiLevelType w:val="multilevel"/>
    <w:tmpl w:val="0D68A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C3718EF"/>
    <w:multiLevelType w:val="multilevel"/>
    <w:tmpl w:val="8E6E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B2B84"/>
    <w:multiLevelType w:val="multilevel"/>
    <w:tmpl w:val="686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861EE"/>
    <w:multiLevelType w:val="multilevel"/>
    <w:tmpl w:val="7636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E042C"/>
    <w:rsid w:val="00301739"/>
    <w:rsid w:val="009900EB"/>
    <w:rsid w:val="00A07B9A"/>
    <w:rsid w:val="00C73001"/>
    <w:rsid w:val="00DE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9A"/>
  </w:style>
  <w:style w:type="paragraph" w:styleId="1">
    <w:name w:val="heading 1"/>
    <w:basedOn w:val="a"/>
    <w:link w:val="10"/>
    <w:uiPriority w:val="9"/>
    <w:qFormat/>
    <w:rsid w:val="00DE0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3001"/>
    <w:rPr>
      <w:color w:val="0000FF"/>
      <w:u w:val="single"/>
    </w:rPr>
  </w:style>
  <w:style w:type="character" w:styleId="a5">
    <w:name w:val="Emphasis"/>
    <w:basedOn w:val="a0"/>
    <w:uiPriority w:val="20"/>
    <w:qFormat/>
    <w:rsid w:val="00C730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36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novosti/novosti-pravo-by/2022/september/71449/" TargetMode="External"/><Relationship Id="rId5" Type="http://schemas.openxmlformats.org/officeDocument/2006/relationships/hyperlink" Target="https://pravo.by/document/?guid=12551&amp;p0=W22238659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2022-08-19T09:20:00Z</dcterms:created>
  <dcterms:modified xsi:type="dcterms:W3CDTF">2022-09-12T09:00:00Z</dcterms:modified>
</cp:coreProperties>
</file>