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A4" w:rsidRPr="001911A4" w:rsidRDefault="001911A4" w:rsidP="001911A4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Оформление трудовых отношений, процесс трудовой деятельности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соответствии с </w:t>
      </w:r>
      <w:hyperlink r:id="rId4" w:anchor="&amp;Article=6" w:tgtFrame="_blank" w:history="1">
        <w:r w:rsidRPr="001911A4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8 ст. 6</w:t>
        </w:r>
      </w:hyperlink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и </w:t>
      </w:r>
      <w:hyperlink r:id="rId5" w:anchor="&amp;Article=8&amp;Point=2" w:tgtFrame="_blank" w:history="1">
        <w:r w:rsidRPr="001911A4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3 п. 2 ст. 8 Закона</w:t>
        </w:r>
      </w:hyperlink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согласие субъекта персональных данных на обработку персональных данных, в т. ч. специальных персональных данных, не требуется при оформлении трудовых (служебных) отношений, а также в процессе трудовой (служебной) деятельности субъекта персональных данных в случаях, предусмотренных законодательством.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Однако несмотря на наличие данного правового основания, некоторые учреждения образования все же предлагали работникам подписать согласие на обработку персональных данных в различных целях.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процессе трудовой (служебной) деятельности необходимость обработки персональных данных возникает регулярно. В одних случаях обработка персональных данных прямо предусматривается в актах законодательства, равно как и перечень обрабатываемых персональных данных либо формы (образцы) документов.</w:t>
      </w:r>
    </w:p>
    <w:p w:rsidR="001911A4" w:rsidRPr="001911A4" w:rsidRDefault="001911A4" w:rsidP="001911A4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5" style="width:0;height:0" o:hralign="center" o:hrstd="t" o:hr="t" fillcolor="#a0a0a0" stroked="f"/>
        </w:pict>
      </w:r>
    </w:p>
    <w:p w:rsidR="001911A4" w:rsidRPr="001911A4" w:rsidRDefault="001911A4" w:rsidP="001911A4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111111"/>
          <w:sz w:val="27"/>
          <w:szCs w:val="27"/>
          <w:lang w:eastAsia="ru-RU"/>
        </w:rPr>
      </w:pPr>
      <w:r w:rsidRPr="001911A4">
        <w:rPr>
          <w:rFonts w:ascii="inherit" w:eastAsia="Times New Roman" w:hAnsi="inherit" w:cs="Times New Roman"/>
          <w:b/>
          <w:bCs/>
          <w:i/>
          <w:iCs/>
          <w:color w:val="111111"/>
          <w:sz w:val="27"/>
          <w:szCs w:val="27"/>
          <w:lang w:eastAsia="ru-RU"/>
        </w:rPr>
        <w:t>Пример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hyperlink r:id="rId6" w:tgtFrame="_blank" w:history="1">
        <w:r w:rsidRPr="001911A4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Постановлением Министерства труда и социальной защиты Республики Беларусь от 16.06.2014 № 40</w:t>
        </w:r>
      </w:hyperlink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«О трудовых книжках» установлены образец трудовой книжки и форма книги учета движения трудовых книжек и вкладышей к ним. Инструкцией о порядке формирования, ведения и хранения личных дел работников (утв. </w:t>
      </w:r>
      <w:hyperlink r:id="rId7" w:tgtFrame="_blank" w:history="1">
        <w:r w:rsidRPr="001911A4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постановлением Комитета по архивам и делопроизводству при Совете Министров Республики Беларусь от 26.03.2004 № 2</w:t>
        </w:r>
      </w:hyperlink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) установлены формы личного листка по учету кадров, дополнения к личному листку по учету кад</w:t>
      </w:r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softHyphen/>
        <w:t>ров, журнала (книги) учета личных дел, контрольной карточки.</w:t>
      </w:r>
    </w:p>
    <w:p w:rsidR="001911A4" w:rsidRPr="001911A4" w:rsidRDefault="001911A4" w:rsidP="001911A4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6" style="width:0;height:0" o:hralign="center" o:hrstd="t" o:hr="t" fillcolor="#a0a0a0" stroked="f"/>
        </w:pic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В иных случаях у нанимателя остается определенная степень усмотрения в части круга обрабатываемых сведений.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Справочно: </w:t>
      </w:r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в соответствии со </w:t>
      </w:r>
      <w:hyperlink r:id="rId8" w:anchor="&amp;Article=80" w:tgtFrame="_blank" w:history="1">
        <w:r w:rsidRPr="001911A4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ст. 80 ТК</w:t>
        </w:r>
      </w:hyperlink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 xml:space="preserve"> наниматель при выплате заработной платы ежемесячно обязан выдавать каждому работнику </w:t>
      </w:r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lastRenderedPageBreak/>
        <w:t>расчетный листок с указанием в нем составных частей заработной платы, причитающейся ему за соответствующий период, размеров удержаний из заработной платы, а также общей суммы заработной платы, подлежащей к выплате. Форма расчетного листка утверждается нанимателем.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требуется согласие на обработку персональных данных и в тех случаях, когда обработка персональных данных и их перечень прямо не называются в акте законодательства, но на нанимателя возлагаются определенные обязанности, требующие использования персональных данных.</w:t>
      </w:r>
    </w:p>
    <w:p w:rsidR="001911A4" w:rsidRPr="001911A4" w:rsidRDefault="001911A4" w:rsidP="001911A4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7" style="width:0;height:0" o:hralign="center" o:hrstd="t" o:hr="t" fillcolor="#a0a0a0" stroked="f"/>
        </w:pict>
      </w:r>
    </w:p>
    <w:p w:rsidR="001911A4" w:rsidRPr="001911A4" w:rsidRDefault="001911A4" w:rsidP="001911A4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111111"/>
          <w:sz w:val="27"/>
          <w:szCs w:val="27"/>
          <w:lang w:eastAsia="ru-RU"/>
        </w:rPr>
      </w:pPr>
      <w:r w:rsidRPr="001911A4">
        <w:rPr>
          <w:rFonts w:ascii="inherit" w:eastAsia="Times New Roman" w:hAnsi="inherit" w:cs="Times New Roman"/>
          <w:b/>
          <w:bCs/>
          <w:i/>
          <w:iCs/>
          <w:color w:val="111111"/>
          <w:sz w:val="27"/>
          <w:szCs w:val="27"/>
          <w:lang w:eastAsia="ru-RU"/>
        </w:rPr>
        <w:t>Пример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Трудовой кодекс возлагает на нанимателя обязанность выдавать заработную плату в сроки и размерах, установленных законодательством, коллективным договором, соглашением или трудовым договором. Соответственно, работник должен открыть в банке счет и представить эту информацию нанимателю для последующего зачисления заработной платы.</w:t>
      </w:r>
    </w:p>
    <w:p w:rsidR="001911A4" w:rsidRPr="001911A4" w:rsidRDefault="001911A4" w:rsidP="001911A4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8" style="width:0;height:0" o:hralign="center" o:hrstd="t" o:hr="t" fillcolor="#a0a0a0" stroked="f"/>
        </w:pic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Предоставление персональных данных работников третьим лицам, т. е. действие, направленное на ознакомление с персональными данными определенных лица или круга лиц, также является обработкой персональных данных и должно осуществляться с соблюдением установленных Законом требований, в т. ч. при наличии соответствующего правового основания.</w:t>
      </w:r>
    </w:p>
    <w:p w:rsidR="001911A4" w:rsidRPr="001911A4" w:rsidRDefault="001911A4" w:rsidP="001911A4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9" style="width:0;height:0" o:hralign="center" o:hrstd="t" o:hr="t" fillcolor="#a0a0a0" stroked="f"/>
        </w:pict>
      </w:r>
    </w:p>
    <w:p w:rsidR="001911A4" w:rsidRPr="001911A4" w:rsidRDefault="001911A4" w:rsidP="001911A4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111111"/>
          <w:sz w:val="27"/>
          <w:szCs w:val="27"/>
          <w:lang w:eastAsia="ru-RU"/>
        </w:rPr>
      </w:pPr>
      <w:r w:rsidRPr="001911A4">
        <w:rPr>
          <w:rFonts w:ascii="inherit" w:eastAsia="Times New Roman" w:hAnsi="inherit" w:cs="Times New Roman"/>
          <w:b/>
          <w:bCs/>
          <w:i/>
          <w:iCs/>
          <w:color w:val="111111"/>
          <w:sz w:val="27"/>
          <w:szCs w:val="27"/>
          <w:lang w:eastAsia="ru-RU"/>
        </w:rPr>
        <w:t>Пример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hyperlink r:id="rId9" w:tgtFrame="_blank" w:history="1">
        <w:r w:rsidRPr="001911A4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Налоговым кодексом Республики Беларусь</w:t>
        </w:r>
      </w:hyperlink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установлена обязанность налоговых агентов представлять по требованию налоговых органов документы и (или) информацию, необходимые для осуществления контроля за правильностью исчисления, удержания и перечисления в бюджет соответствующих налогов, сборов (пошлин) (</w:t>
      </w:r>
      <w:hyperlink r:id="rId10" w:anchor="&amp;Article=23&amp;Point=3&amp;UnderPoint=3.3" w:tgtFrame="_blank" w:history="1">
        <w:r w:rsidRPr="001911A4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подп. 3.3 п. 3 ст. 23 Налогового кодекса</w:t>
        </w:r>
      </w:hyperlink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).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hyperlink r:id="rId11" w:anchor="&amp;Article=10" w:tgtFrame="_blank" w:history="1">
        <w:r w:rsidRPr="001911A4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Статьей 10 Закона Республики Беларусь от 06.01.1999 № 230-З</w:t>
        </w:r>
      </w:hyperlink>
      <w:r w:rsidRPr="001911A4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«Об индивидуальном (персонифицированном) учете в системе государственного социального страхования» установлена обязанность плательщиков взносов на государственное социальное страхование представлять в установленном порядке в органы, осуществляющие персонифицированный учет, достоверные сведения, необходимые для ведения персонифицированного учета.</w:t>
      </w:r>
    </w:p>
    <w:p w:rsidR="001911A4" w:rsidRPr="001911A4" w:rsidRDefault="001911A4" w:rsidP="001911A4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30" style="width:0;height:0" o:hralign="center" o:hrstd="t" o:hr="t" fillcolor="#a0a0a0" stroked="f"/>
        </w:pic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Соответственно, если предоставление персональных данных работника в процессе его трудовой деятельности обусловлено требованиями законодательства, то оно осуществляется на основании </w:t>
      </w:r>
      <w:hyperlink r:id="rId12" w:anchor="&amp;Article=6" w:tgtFrame="_blank" w:history="1">
        <w:r w:rsidRPr="001911A4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8 ст. 6</w:t>
        </w:r>
      </w:hyperlink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и </w:t>
      </w:r>
      <w:hyperlink r:id="rId13" w:anchor="&amp;Article=8&amp;Point=2" w:tgtFrame="_blank" w:history="1">
        <w:r w:rsidRPr="001911A4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3 п. 2 ст. 8 Закона</w:t>
        </w:r>
      </w:hyperlink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1911A4" w:rsidRPr="001911A4" w:rsidRDefault="001911A4" w:rsidP="001911A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осуществлении образовательного процесса предполагается взаимодействие обучающегося и педагогических работников. Более того, </w:t>
      </w:r>
      <w:hyperlink r:id="rId14" w:tgtFrame="_blank" w:history="1">
        <w:r w:rsidRPr="001911A4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Кодексом об образовании</w:t>
        </w:r>
      </w:hyperlink>
      <w:r w:rsidRPr="001911A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предусмотрены различные формы такого взаимодействия. Оно охватывается трудовой функцией педагогического работника, поэтому получать согласие на обработку персональных данных для реализации данной цели не требуется.</w:t>
      </w:r>
    </w:p>
    <w:p w:rsidR="000A3610" w:rsidRDefault="000A3610">
      <w:bookmarkStart w:id="0" w:name="_GoBack"/>
      <w:bookmarkEnd w:id="0"/>
    </w:p>
    <w:sectPr w:rsidR="000A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A4"/>
    <w:rsid w:val="000A3610"/>
    <w:rsid w:val="001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54D8C-499C-4E82-BA1E-6834B38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1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911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1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1A4"/>
    <w:rPr>
      <w:color w:val="0000FF"/>
      <w:u w:val="single"/>
    </w:rPr>
  </w:style>
  <w:style w:type="character" w:styleId="a5">
    <w:name w:val="Strong"/>
    <w:basedOn w:val="a0"/>
    <w:uiPriority w:val="22"/>
    <w:qFormat/>
    <w:rsid w:val="001911A4"/>
    <w:rPr>
      <w:b/>
      <w:bCs/>
    </w:rPr>
  </w:style>
  <w:style w:type="character" w:styleId="a6">
    <w:name w:val="Emphasis"/>
    <w:basedOn w:val="a0"/>
    <w:uiPriority w:val="20"/>
    <w:qFormat/>
    <w:rsid w:val="001911A4"/>
    <w:rPr>
      <w:i/>
      <w:iCs/>
    </w:rPr>
  </w:style>
  <w:style w:type="paragraph" w:customStyle="1" w:styleId="note-bg">
    <w:name w:val="note-bg"/>
    <w:basedOn w:val="a"/>
    <w:rsid w:val="0019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900296&amp;q_id=6257974" TargetMode="External"/><Relationship Id="rId13" Type="http://schemas.openxmlformats.org/officeDocument/2006/relationships/hyperlink" Target="https://etalonline.by/document/?regnum=h12100099&amp;q_id=62574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w20410795&amp;q_id=6257752" TargetMode="External"/><Relationship Id="rId12" Type="http://schemas.openxmlformats.org/officeDocument/2006/relationships/hyperlink" Target="https://etalonline.by/document/?regnum=h12100099&amp;q_id=62574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w21429094&amp;q_id=6257755" TargetMode="External"/><Relationship Id="rId11" Type="http://schemas.openxmlformats.org/officeDocument/2006/relationships/hyperlink" Target="https://etalonline.by/document/?regnum=h19900230&amp;q_id=6257662" TargetMode="External"/><Relationship Id="rId5" Type="http://schemas.openxmlformats.org/officeDocument/2006/relationships/hyperlink" Target="https://etalonline.by/document/?regnum=h12100099&amp;q_id=62574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talonline.by/document/?regnum=hk0200166&amp;q_id=6257671" TargetMode="External"/><Relationship Id="rId4" Type="http://schemas.openxmlformats.org/officeDocument/2006/relationships/hyperlink" Target="https://etalonline.by/document/?regnum=h12100099&amp;q_id=6257467" TargetMode="External"/><Relationship Id="rId9" Type="http://schemas.openxmlformats.org/officeDocument/2006/relationships/hyperlink" Target="https://etalonline.by/document/?regnum=hk0200166&amp;q_id=6257671" TargetMode="External"/><Relationship Id="rId14" Type="http://schemas.openxmlformats.org/officeDocument/2006/relationships/hyperlink" Target="https://etalonline.by/document/?regnum=hk1100243&amp;q_id=6257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2023-06-25T19:21:00Z</dcterms:created>
  <dcterms:modified xsi:type="dcterms:W3CDTF">2023-06-25T19:21:00Z</dcterms:modified>
</cp:coreProperties>
</file>