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F1" w:rsidRPr="00BA31F1" w:rsidRDefault="00BA31F1" w:rsidP="00BA31F1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Организация образовательного и воспитательного процессов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 многих формах согласия встречается следующая цель обработки: для обеспечения образовательного процесса (вариант — в целях осуществления обучения и воспитания).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Между тем согласие субъекта персональных данных на обработку персональных данных не требуется в случаях, когда обработка персональных данных является необходимой для выполнения обязанностей (полномочий), предусмотренных законодательными актами (</w:t>
      </w:r>
      <w:hyperlink r:id="rId4" w:anchor="&amp;Article=6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20 ст. 6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 </w:t>
      </w:r>
      <w:hyperlink r:id="rId5" w:anchor="&amp;Article=8&amp;Point=2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17 п. 2 ст. 8 Закона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).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подп. 1.21 п. 1 ст. 1 Кодекса об образовании образовательный процесс определен как обучение и воспитание, организованные учреждением образования, организацией, реализующей образовательные программы научно-</w:t>
      </w: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  <w:t>ориентированного образования, иной организацией, индивидуальным предпринимателем, осуществляющими образовательную деятельность, в целях освоения обучающимися содержания образовательных программ.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Кодекс об образовании в ряде случаев прямо предусматривает представление документов, содержащих персональные данные участников образовательного процесса, в целях его обеспечения или налагает на учреждения образования определенные обязанности, связанные с обработкой персональных данных.</w:t>
      </w:r>
    </w:p>
    <w:p w:rsidR="00BA31F1" w:rsidRPr="00BA31F1" w:rsidRDefault="00BA31F1" w:rsidP="00BA31F1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5" style="width:0;height:0" o:hralign="center" o:hrstd="t" o:hr="t" fillcolor="#a0a0a0" stroked="f"/>
        </w:pict>
      </w:r>
    </w:p>
    <w:p w:rsidR="00BA31F1" w:rsidRPr="00BA31F1" w:rsidRDefault="00BA31F1" w:rsidP="00BA31F1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111111"/>
          <w:sz w:val="27"/>
          <w:szCs w:val="27"/>
          <w:lang w:eastAsia="ru-RU"/>
        </w:rPr>
      </w:pPr>
      <w:r w:rsidRPr="00BA31F1">
        <w:rPr>
          <w:rFonts w:ascii="inherit" w:eastAsia="Times New Roman" w:hAnsi="inherit" w:cs="Times New Roman"/>
          <w:b/>
          <w:bCs/>
          <w:i/>
          <w:iCs/>
          <w:color w:val="111111"/>
          <w:sz w:val="27"/>
          <w:szCs w:val="27"/>
          <w:lang w:eastAsia="ru-RU"/>
        </w:rPr>
        <w:t>Пример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В </w:t>
      </w:r>
      <w:hyperlink r:id="rId6" w:anchor="&amp;Article=140" w:tgtFrame="_blank" w:history="1">
        <w:r w:rsidRPr="00BA31F1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ст. 140 Кодекса об образовании</w:t>
        </w:r>
      </w:hyperlink>
      <w:r w:rsidRPr="00BA31F1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установлены общие требования к приему лиц для получения дошкольного образования и перечислены документы, на основании которых осуществляется прием лица в учреждение дошкольного образования.</w:t>
      </w:r>
    </w:p>
    <w:p w:rsidR="00BA31F1" w:rsidRPr="00BA31F1" w:rsidRDefault="00BA31F1" w:rsidP="00BA31F1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6" style="width:0;height:0" o:hralign="center" o:hrstd="t" o:hr="t" fillcolor="#a0a0a0" stroked="f"/>
        </w:pic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В других случаях необходимость представления каких-либо документов напрямую в </w:t>
      </w:r>
      <w:hyperlink r:id="rId7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Кодексе об образовании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не предусмотрена, однако на учреждения образования возложены определенные обязанности </w:t>
      </w: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(полномочия), которые не могут быть реализованы без обработки персональных данных.</w:t>
      </w:r>
    </w:p>
    <w:p w:rsidR="00BA31F1" w:rsidRPr="00BA31F1" w:rsidRDefault="00BA31F1" w:rsidP="00BA31F1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7" style="width:0;height:0" o:hralign="center" o:hrstd="t" o:hr="t" fillcolor="#a0a0a0" stroked="f"/>
        </w:pict>
      </w:r>
    </w:p>
    <w:p w:rsidR="00BA31F1" w:rsidRPr="00BA31F1" w:rsidRDefault="00BA31F1" w:rsidP="00BA31F1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Times New Roman"/>
          <w:color w:val="111111"/>
          <w:sz w:val="27"/>
          <w:szCs w:val="27"/>
          <w:lang w:eastAsia="ru-RU"/>
        </w:rPr>
      </w:pPr>
      <w:r w:rsidRPr="00BA31F1">
        <w:rPr>
          <w:rFonts w:ascii="inherit" w:eastAsia="Times New Roman" w:hAnsi="inherit" w:cs="Times New Roman"/>
          <w:b/>
          <w:bCs/>
          <w:i/>
          <w:iCs/>
          <w:color w:val="111111"/>
          <w:sz w:val="27"/>
          <w:szCs w:val="27"/>
          <w:lang w:eastAsia="ru-RU"/>
        </w:rPr>
        <w:t>Пример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В соответствии с </w:t>
      </w:r>
      <w:hyperlink r:id="rId8" w:anchor="&amp;Article=30&amp;Point=1&amp;UnderPoint=1.21" w:tgtFrame="_blank" w:history="1">
        <w:r w:rsidRPr="00BA31F1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подп. 1.21 п. 1 ст. 30 Кодекса об образовании</w:t>
        </w:r>
      </w:hyperlink>
      <w:r w:rsidRPr="00BA31F1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обучающиеся имеют право на 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</w:t>
      </w:r>
      <w:r w:rsidRPr="00BA31F1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softHyphen/>
        <w:t>массовой, общественной, научной, научно-</w:t>
      </w:r>
      <w:r w:rsidRPr="00BA31F1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softHyphen/>
        <w:t>технической, экспериментальной, инновационной деятельности. Таким образом, участие в данных мероприятиях является частью образовательного процесса. Для организации и проведения образовательных мероприятий учреждение образования обязано обрабатывать персональные данные их участников.</w:t>
      </w:r>
    </w:p>
    <w:p w:rsidR="00BA31F1" w:rsidRPr="00BA31F1" w:rsidRDefault="00BA31F1" w:rsidP="00BA31F1">
      <w:pPr>
        <w:shd w:val="clear" w:color="auto" w:fill="FFFFFF"/>
        <w:spacing w:before="300" w:after="30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rect id="_x0000_i1028" style="width:0;height:0" o:hralign="center" o:hrstd="t" o:hr="t" fillcolor="#a0a0a0" stroked="f"/>
        </w:pic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Как обработка персональных данных, которая является необходимой для выполнения таких обязанностей (полномочий), рассматриваются и случаи, когда законодательный акт содержит отсылочную норму об определении порядка реализации обязанностей (полномочий) в иных НПА, например постановлениях Совета Министров. Такие обязанности (полномочия) предоставлены рядом статей </w:t>
      </w:r>
      <w:hyperlink r:id="rId9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Кодекса об образовании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согласно которым Правительство или Министерство образования наделяются правом определять порядок и условия реализации отдельных отношений, возникающих в сфере образования.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отдельных случаях учреждения образования предлагали подписать согласие на обработку персональных данных несовершеннолетнего в целях физического воспитания. Однако получать согласие в данном случае также не требуется.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соответствии с </w:t>
      </w:r>
      <w:hyperlink r:id="rId10" w:anchor="&amp;Article=17&amp;Point=5&amp;UnderPoint=5.6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подп. 5.6 п. 5 ст. 17 Кодекса об образовании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к числу основных требований к воспитанию относятся воспитание физической культуры, физическое совершенствование.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Согласно </w:t>
      </w:r>
      <w:hyperlink r:id="rId11" w:anchor="&amp;Article=83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7 ст. 83 Кодекса об образовании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(утв. </w:t>
      </w:r>
      <w:hyperlink r:id="rId12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постановлением Министерства спорта и туризма Республики Беларусь от 31.08.2018 № 60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).</w:t>
      </w:r>
    </w:p>
    <w:p w:rsidR="00BA31F1" w:rsidRPr="00BA31F1" w:rsidRDefault="00BA31F1" w:rsidP="00BA31F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Таким образом, в большинстве случаев вопросы, связанные с организацией обучения, обеспечением образовательного и воспитательного процессов и деятельностью его участников урегулированы в </w:t>
      </w:r>
      <w:hyperlink r:id="rId13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Кодексе об образовании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и принятых на его основании НПА. Поэтому обработка персональных данных в таких случаях будет осуществляться на основании </w:t>
      </w:r>
      <w:hyperlink r:id="rId14" w:anchor="&amp;Article=6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20 ст. 6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либо </w:t>
      </w:r>
      <w:hyperlink r:id="rId15" w:anchor="&amp;Article=8&amp;Point=2" w:tgtFrame="_blank" w:history="1">
        <w:r w:rsidRPr="00BA31F1">
          <w:rPr>
            <w:rFonts w:ascii="Cuprum" w:eastAsia="Times New Roman" w:hAnsi="Cuprum" w:cs="Times New Roman"/>
            <w:color w:val="337AB7"/>
            <w:sz w:val="30"/>
            <w:szCs w:val="30"/>
            <w:lang w:eastAsia="ru-RU"/>
          </w:rPr>
          <w:t>абз. 17 п. 2 ст. 8 Закона</w:t>
        </w:r>
      </w:hyperlink>
      <w:r w:rsidRPr="00BA31F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и согласие субъекта персональных данных (его законных представителей) не требуется.</w:t>
      </w:r>
    </w:p>
    <w:p w:rsidR="009E0C71" w:rsidRDefault="009E0C71">
      <w:bookmarkStart w:id="0" w:name="_GoBack"/>
      <w:bookmarkEnd w:id="0"/>
    </w:p>
    <w:sectPr w:rsidR="009E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F1"/>
    <w:rsid w:val="009E0C71"/>
    <w:rsid w:val="00B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6E42F-1D05-4EEE-B855-20B8921C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A3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1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1F1"/>
    <w:rPr>
      <w:color w:val="0000FF"/>
      <w:u w:val="single"/>
    </w:rPr>
  </w:style>
  <w:style w:type="character" w:styleId="a5">
    <w:name w:val="Emphasis"/>
    <w:basedOn w:val="a0"/>
    <w:uiPriority w:val="20"/>
    <w:qFormat/>
    <w:rsid w:val="00BA3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1100243&amp;q_id=6257636" TargetMode="External"/><Relationship Id="rId13" Type="http://schemas.openxmlformats.org/officeDocument/2006/relationships/hyperlink" Target="https://etalonline.by/document/?regnum=hk1100243&amp;q_id=62576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hk1100243&amp;q_id=6257636" TargetMode="External"/><Relationship Id="rId12" Type="http://schemas.openxmlformats.org/officeDocument/2006/relationships/hyperlink" Target="https://etalonline.by/document/?regnum=w21833467&amp;q_id=625796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k1100243&amp;q_id=6257636" TargetMode="External"/><Relationship Id="rId11" Type="http://schemas.openxmlformats.org/officeDocument/2006/relationships/hyperlink" Target="https://etalonline.by/document/?regnum=hk1100243&amp;q_id=6257636" TargetMode="External"/><Relationship Id="rId5" Type="http://schemas.openxmlformats.org/officeDocument/2006/relationships/hyperlink" Target="https://etalonline.by/document/?regnum=h12100099&amp;q_id=6257467" TargetMode="External"/><Relationship Id="rId15" Type="http://schemas.openxmlformats.org/officeDocument/2006/relationships/hyperlink" Target="https://etalonline.by/document/?regnum=h12100099&amp;q_id=6257467" TargetMode="External"/><Relationship Id="rId10" Type="http://schemas.openxmlformats.org/officeDocument/2006/relationships/hyperlink" Target="https://etalonline.by/document/?regnum=hk1100243&amp;q_id=6257636" TargetMode="External"/><Relationship Id="rId4" Type="http://schemas.openxmlformats.org/officeDocument/2006/relationships/hyperlink" Target="https://etalonline.by/document/?regnum=h12100099&amp;q_id=6257467" TargetMode="External"/><Relationship Id="rId9" Type="http://schemas.openxmlformats.org/officeDocument/2006/relationships/hyperlink" Target="https://etalonline.by/document/?regnum=hk1100243&amp;q_id=6257636" TargetMode="External"/><Relationship Id="rId14" Type="http://schemas.openxmlformats.org/officeDocument/2006/relationships/hyperlink" Target="https://etalonline.by/document/?regnum=h12100099&amp;q_id=625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2023-06-25T19:22:00Z</dcterms:created>
  <dcterms:modified xsi:type="dcterms:W3CDTF">2023-06-25T19:22:00Z</dcterms:modified>
</cp:coreProperties>
</file>