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C9" w:rsidRPr="00E340C9" w:rsidRDefault="00E340C9" w:rsidP="00E340C9">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E340C9">
        <w:rPr>
          <w:rFonts w:ascii="Cuprum" w:eastAsia="Times New Roman" w:hAnsi="Cuprum" w:cs="Times New Roman"/>
          <w:color w:val="111111"/>
          <w:sz w:val="45"/>
          <w:szCs w:val="45"/>
          <w:lang w:eastAsia="ru-RU"/>
        </w:rPr>
        <w:t>Документы, разрабатываемые в учреждении дошкольного образования</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Учреждение образования, являясь самостоятельным оператором, обязано выполнять предписания </w:t>
      </w:r>
      <w:hyperlink r:id="rId5" w:tgtFrame="_blank" w:history="1">
        <w:r w:rsidRPr="00E340C9">
          <w:rPr>
            <w:rFonts w:ascii="Cuprum" w:eastAsia="Times New Roman" w:hAnsi="Cuprum" w:cs="Times New Roman"/>
            <w:color w:val="337AB7"/>
            <w:sz w:val="30"/>
            <w:szCs w:val="30"/>
            <w:u w:val="single"/>
            <w:lang w:eastAsia="ru-RU"/>
          </w:rPr>
          <w:t>Закона</w:t>
        </w:r>
      </w:hyperlink>
      <w:r w:rsidRPr="00E340C9">
        <w:rPr>
          <w:rFonts w:ascii="Cuprum" w:eastAsia="Times New Roman" w:hAnsi="Cuprum" w:cs="Times New Roman"/>
          <w:color w:val="111111"/>
          <w:sz w:val="30"/>
          <w:szCs w:val="30"/>
          <w:lang w:eastAsia="ru-RU"/>
        </w:rPr>
        <w:t>. Остановимся более подробно на тех документах, касающихся защиты персональных данных, которые должны быть разработаны в учреждении образования.</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1. Приказ о назначении лица, ответственного за осуществление внутреннего контроля за обработкой персональных данных*.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Наряду с назначением ответственного лица необходимо разработать порядок осуществления внутреннего контроля за обработкой персональных данных, включающий периодичность и формат контрольных мероприятий, их оформление и порядок принятия решений по результатам таких мероприятий.</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    С рекомендациями о назначении структурного подразделения или лица, ответственного за осуществление внутреннего контроля за обработкой персональных данных, можно ознакомиться на </w:t>
      </w:r>
      <w:hyperlink r:id="rId6" w:tgtFrame="_blank" w:history="1">
        <w:r w:rsidRPr="00E340C9">
          <w:rPr>
            <w:rFonts w:ascii="Cuprum" w:eastAsia="Times New Roman" w:hAnsi="Cuprum" w:cs="Times New Roman"/>
            <w:color w:val="337AB7"/>
            <w:sz w:val="30"/>
            <w:szCs w:val="30"/>
            <w:u w:val="single"/>
            <w:lang w:eastAsia="ru-RU"/>
          </w:rPr>
          <w:t>сайте НЦЗПД</w:t>
        </w:r>
      </w:hyperlink>
      <w:r w:rsidRPr="00E340C9">
        <w:rPr>
          <w:rFonts w:ascii="Cuprum" w:eastAsia="Times New Roman" w:hAnsi="Cuprum" w:cs="Times New Roman"/>
          <w:color w:val="111111"/>
          <w:sz w:val="30"/>
          <w:szCs w:val="30"/>
          <w:lang w:eastAsia="ru-RU"/>
        </w:rPr>
        <w:t>.</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2. Политика учреждения образования в отношении обработки персональных данных.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Цель издания данного документа заключается в информировании субъектов персональных данных об обработке персональных данных в учреждении.</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Следует отметить, что это может быть один общий документ, определяющий политику учреждения образования в отношении обработки персональных данных, или несколько документов, определяющих порядок обработки персональных данных в определенных сферах или в связи с определенными процессами (например, в рамках обработки персональных данных на сайте, обработки персональных данных работников в процессе трудовой (служебной) деятельности и т. п.).</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0000FF"/>
          <w:sz w:val="30"/>
          <w:szCs w:val="30"/>
          <w:lang w:eastAsia="ru-RU"/>
        </w:rPr>
        <w:t>Это важно</w:t>
      </w:r>
      <w:r w:rsidRPr="00E340C9">
        <w:rPr>
          <w:rFonts w:ascii="Cuprum" w:eastAsia="Times New Roman" w:hAnsi="Cuprum" w:cs="Times New Roman"/>
          <w:color w:val="111111"/>
          <w:sz w:val="30"/>
          <w:szCs w:val="30"/>
          <w:lang w:eastAsia="ru-RU"/>
        </w:rPr>
        <w:br/>
        <w:t>Политика должна содержать общие положения, разъясняющие субъекту персональных данных, как и для каких целей персональные данные собираются, используются или иным образом обрабатываются, а также какие права имеются у субъекта в контексте этой обработки и каков механизм их реализации.</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lastRenderedPageBreak/>
        <w:t>При написании политики важно обеспечить соотношение информации о целях, правовых основаниях обработки и круге обрабатываемых персональных данных, что позволит субъекту персональных данных уяснить, какие его персональные данные и для каких именно целей обрабатываются. В противном случае политика будет носить формальный характер и не иметь для субъекта практической пользы, поскольку не будет обеспечена реализация принципа прозрачности обработки персональных данных.</w:t>
      </w:r>
    </w:p>
    <w:p w:rsidR="00E340C9" w:rsidRDefault="00E340C9" w:rsidP="00E340C9">
      <w:pPr>
        <w:shd w:val="clear" w:color="auto" w:fill="FFFFFF"/>
        <w:spacing w:after="150" w:line="240" w:lineRule="auto"/>
        <w:jc w:val="both"/>
        <w:rPr>
          <w:rFonts w:ascii="Cuprum" w:eastAsia="Times New Roman" w:hAnsi="Cuprum" w:cs="Times New Roman"/>
          <w:b/>
          <w:bCs/>
          <w:i/>
          <w:iCs/>
          <w:color w:val="0000FF"/>
          <w:sz w:val="30"/>
          <w:szCs w:val="30"/>
          <w:lang w:eastAsia="ru-RU"/>
        </w:rPr>
      </w:pPr>
      <w:r w:rsidRPr="00E340C9">
        <w:rPr>
          <w:rFonts w:ascii="Cuprum" w:eastAsia="Times New Roman" w:hAnsi="Cuprum" w:cs="Times New Roman"/>
          <w:b/>
          <w:bCs/>
          <w:i/>
          <w:iCs/>
          <w:color w:val="0000FF"/>
          <w:sz w:val="30"/>
          <w:szCs w:val="30"/>
          <w:lang w:eastAsia="ru-RU"/>
        </w:rPr>
        <w:t>Это важно</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Как показали проверки, проводимые НЦЗПД, многие забывают отразить в политике все процессы, в ходе которых обрабатываются персональные данные (например, забывают о видеонаблюдении в здании), а также не обеспечивают соотношение целей обработки, правовых оснований, категорий субъектов персональных данных, чьи данные подвергаются обработке, и перечня обрабатываемых персональных данных.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При подготовке политики многие операторы просто дублируют положения Закона, что также не отвечает принципу прозрачности обработки персональных данных, либо используют первую попавшуюся в Интернете политику без ее адаптации к собственным процессам, либо включают в политику положения, изложенные с учетом подходов российского законодательства.</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Отмечается также несогласованность положений политики, а иногда даже прямое противоречие их друг другу. При формулировании целей обработки персональных данных в политике зачастую указывают слишком общие либо неконкретные цели обработки (например, обеспечение соблюдения законодательства, осуществление деятельности в соответствии с уставом). При определении сроков обработки персональных данных сроки либо вовсе не указываются, либо указываются неконкретные сроки («не дольше, чем этого требуют цели обработки персональных данных, кроме случаев, когда срок хранения персональных данных установлен законодательством», «согласие действует до момента отзыва этого согласия либо до момента, установленного законодательством»).</w:t>
      </w:r>
    </w:p>
    <w:p w:rsidR="00E340C9" w:rsidRDefault="00E340C9" w:rsidP="00E340C9">
      <w:pPr>
        <w:shd w:val="clear" w:color="auto" w:fill="FFFFFF"/>
        <w:spacing w:after="150" w:line="240" w:lineRule="auto"/>
        <w:jc w:val="both"/>
        <w:rPr>
          <w:rFonts w:ascii="Cuprum" w:eastAsia="Times New Roman" w:hAnsi="Cuprum" w:cs="Times New Roman"/>
          <w:b/>
          <w:bCs/>
          <w:i/>
          <w:iCs/>
          <w:color w:val="0000FF"/>
          <w:sz w:val="30"/>
          <w:szCs w:val="30"/>
          <w:lang w:eastAsia="ru-RU"/>
        </w:rPr>
      </w:pPr>
      <w:r w:rsidRPr="00E340C9">
        <w:rPr>
          <w:rFonts w:ascii="Cuprum" w:eastAsia="Times New Roman" w:hAnsi="Cuprum" w:cs="Times New Roman"/>
          <w:b/>
          <w:bCs/>
          <w:i/>
          <w:iCs/>
          <w:color w:val="0000FF"/>
          <w:sz w:val="30"/>
          <w:szCs w:val="30"/>
          <w:lang w:eastAsia="ru-RU"/>
        </w:rPr>
        <w:t>Это важно</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 xml:space="preserve">В некоторых случаях в политике не указывается механизм реализации прав субъектов персональных данных, в т. ч. не указывается лицо, ответственное за осуществление внутреннего контроля, либо </w:t>
      </w:r>
      <w:proofErr w:type="gramStart"/>
      <w:r w:rsidRPr="00E340C9">
        <w:rPr>
          <w:rFonts w:ascii="Cuprum" w:eastAsia="Times New Roman" w:hAnsi="Cuprum" w:cs="Times New Roman"/>
          <w:color w:val="111111"/>
          <w:sz w:val="30"/>
          <w:szCs w:val="30"/>
          <w:lang w:eastAsia="ru-RU"/>
        </w:rPr>
        <w:t>на субъектов</w:t>
      </w:r>
      <w:proofErr w:type="gramEnd"/>
      <w:r w:rsidRPr="00E340C9">
        <w:rPr>
          <w:rFonts w:ascii="Cuprum" w:eastAsia="Times New Roman" w:hAnsi="Cuprum" w:cs="Times New Roman"/>
          <w:color w:val="111111"/>
          <w:sz w:val="30"/>
          <w:szCs w:val="30"/>
          <w:lang w:eastAsia="ru-RU"/>
        </w:rPr>
        <w:t xml:space="preserve"> персональных данных возлагаются обязанности, не предусмотренные Законом, что нарушает их права и законные интересы, </w:t>
      </w:r>
      <w:r w:rsidRPr="00E340C9">
        <w:rPr>
          <w:rFonts w:ascii="Cuprum" w:eastAsia="Times New Roman" w:hAnsi="Cuprum" w:cs="Times New Roman"/>
          <w:color w:val="111111"/>
          <w:sz w:val="30"/>
          <w:szCs w:val="30"/>
          <w:lang w:eastAsia="ru-RU"/>
        </w:rPr>
        <w:lastRenderedPageBreak/>
        <w:t>создает для них сложности и непонимание механизма реализации своих прав.</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Рекомендуется писать политику простым и понятным языком, избегая сложных оборотов и специфической профессиональной лексики.</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Обращаем внимание, что рекомендации по составлению документа, определяющего политику оператора (уполномоченного лица) в отношении обработки персональных данных, размещены в </w:t>
      </w:r>
      <w:hyperlink r:id="rId7" w:tgtFrame="_blank" w:history="1">
        <w:r w:rsidRPr="00E340C9">
          <w:rPr>
            <w:rFonts w:ascii="Cuprum" w:eastAsia="Times New Roman" w:hAnsi="Cuprum" w:cs="Times New Roman"/>
            <w:color w:val="337AB7"/>
            <w:sz w:val="30"/>
            <w:szCs w:val="30"/>
            <w:u w:val="single"/>
            <w:lang w:eastAsia="ru-RU"/>
          </w:rPr>
          <w:t>открытом доступе</w:t>
        </w:r>
      </w:hyperlink>
      <w:r w:rsidRPr="00E340C9">
        <w:rPr>
          <w:rFonts w:ascii="Cuprum" w:eastAsia="Times New Roman" w:hAnsi="Cuprum" w:cs="Times New Roman"/>
          <w:color w:val="111111"/>
          <w:sz w:val="30"/>
          <w:szCs w:val="30"/>
          <w:lang w:eastAsia="ru-RU"/>
        </w:rPr>
        <w:t>.</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Необходимо помнить и о том, что учреждение образования обязано обеспечить неограниченный доступ к политике, в т. ч. с использованием Интернета, с учетом круга субъектов персональных данных, на которых она распространяется.</w:t>
      </w:r>
    </w:p>
    <w:p w:rsidR="00E340C9" w:rsidRDefault="00E340C9" w:rsidP="00E340C9">
      <w:pPr>
        <w:shd w:val="clear" w:color="auto" w:fill="FFFFFF"/>
        <w:spacing w:after="150" w:line="240" w:lineRule="auto"/>
        <w:jc w:val="both"/>
        <w:rPr>
          <w:rFonts w:ascii="Cuprum" w:eastAsia="Times New Roman" w:hAnsi="Cuprum" w:cs="Times New Roman"/>
          <w:b/>
          <w:bCs/>
          <w:i/>
          <w:iCs/>
          <w:color w:val="0000FF"/>
          <w:sz w:val="30"/>
          <w:szCs w:val="30"/>
          <w:lang w:eastAsia="ru-RU"/>
        </w:rPr>
      </w:pPr>
      <w:r w:rsidRPr="00E340C9">
        <w:rPr>
          <w:rFonts w:ascii="Cuprum" w:eastAsia="Times New Roman" w:hAnsi="Cuprum" w:cs="Times New Roman"/>
          <w:b/>
          <w:bCs/>
          <w:i/>
          <w:iCs/>
          <w:color w:val="0000FF"/>
          <w:sz w:val="30"/>
          <w:szCs w:val="30"/>
          <w:lang w:eastAsia="ru-RU"/>
        </w:rPr>
        <w:t>Это важно</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bookmarkStart w:id="0" w:name="_GoBack"/>
      <w:bookmarkEnd w:id="0"/>
      <w:r w:rsidRPr="00E340C9">
        <w:rPr>
          <w:rFonts w:ascii="Cuprum" w:eastAsia="Times New Roman" w:hAnsi="Cuprum" w:cs="Times New Roman"/>
          <w:color w:val="111111"/>
          <w:sz w:val="30"/>
          <w:szCs w:val="30"/>
          <w:lang w:eastAsia="ru-RU"/>
        </w:rPr>
        <w:t>Политика оператора в отношении «внешнего контура» (законных представителей несовершеннолетних, граждан, направляющих обращения, и т. п.) размещается на сайте оператора. При отсутствии у учреждения образования сайта обеспечение неограниченного доступа к политике осуществляется посредством ее размещения на информационных стендах или иными способами.</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Политику учреждения образования в отношении обработки персональных данных работников (при ее наличии) нет необходимости размещать в открытом доступе для неограниченного круга лиц. В этом случае допустимо опубликовать соответствующий документ на корпоративном портале (при его наличии), а также разместить на информационных стендах.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3. Документ, определяющий порядок доступа к персональным данным, в т. ч. обрабатываемым в информационном ресурсе (системе).</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В законодательстве нет требований относительно того, что должен включать данный порядок. Полагаем, это зависит от самого учреждения образования, целей сбора персональных данный и от того, какие персональные данные будут обрабатываться.</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Порядок доступа к персональным данным целесообразно закрепить в одном документе, но отдельные его положения могут быть детализированы в иных документах, в т. ч. положениях об информационных ресурсах (системах), о видеонаблюдении и др.</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lastRenderedPageBreak/>
        <w:t>При разработке порядка доступа к персональным данным в нем следует отразить различия в предоставлении такого доступа к документам в информационных ресурсах и к документам в бумажном виде. Например, доступ к персональным данным, обрабатываемым в информационном ресурсе (системе), может быть ограничен посредством настроек программного обеспечения (установление разграничения доступа, паролей). А доступ к персональным данным, содержащимся в документах в бумажном виде, можно ограничить посредством организации мест для их хранения.</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Отсутствие такого порядка может привести к тому, что доступ к персональным данным будут иметь работники, должностные обязанности которых не связаны с обработкой персональных данных (например, обслуживающий персонал), или иные лица (обучающиеся, родители, посетители учреждения образования).</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color w:val="111111"/>
          <w:sz w:val="30"/>
          <w:szCs w:val="30"/>
          <w:lang w:eastAsia="ru-RU"/>
        </w:rPr>
        <w:t>В любом случае данный документ может включать следующую информацию:</w:t>
      </w:r>
    </w:p>
    <w:p w:rsidR="00E340C9" w:rsidRPr="00E340C9" w:rsidRDefault="00E340C9" w:rsidP="00E340C9">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перечень работников, непосредственно осуществляющих обработку персональных данных, в соответствии с целями их обработки и категориями персональных данных;</w:t>
      </w:r>
    </w:p>
    <w:p w:rsidR="00E340C9" w:rsidRPr="00E340C9" w:rsidRDefault="00E340C9" w:rsidP="00E340C9">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порядок доступа в помещения, где обрабатываются персональные данные, к электронным базам персональных данных, порядок выдачи логинов и паролей, перечень должностей учреждения образования, которым может быть дан доступ, а также цели выдачи такого доступа (например, при организации оплаты питания);</w:t>
      </w:r>
    </w:p>
    <w:p w:rsidR="00E340C9" w:rsidRPr="00E340C9" w:rsidRDefault="00E340C9" w:rsidP="00E340C9">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порядок прекращения доступа работников к обработке персональных данных и т. п.</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4. Перечень информационных ресурсов (систем), содержащих персональные данные, собственником (владельцем) которых является учреждение образования, а также категорий персональных данных, подлежащих включению в данные ресурсы (системы).</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Операторы обязаны устанавливать и поддерживать в актуальном состоянии перечень информационных ресурсов (систем), содержащих персональные данные, собственниками (владельцами) которых они являются (</w:t>
      </w:r>
      <w:hyperlink r:id="rId8" w:anchor="&amp;Point=3&amp;UnderPoint=3.5" w:tgtFrame="_blank" w:history="1">
        <w:r w:rsidRPr="00E340C9">
          <w:rPr>
            <w:rFonts w:ascii="Cuprum" w:eastAsia="Times New Roman" w:hAnsi="Cuprum" w:cs="Times New Roman"/>
            <w:color w:val="337AB7"/>
            <w:sz w:val="30"/>
            <w:szCs w:val="30"/>
            <w:u w:val="single"/>
            <w:lang w:eastAsia="ru-RU"/>
          </w:rPr>
          <w:t>подп. 3.5 п. 3 Указа Президента Республики Беларусь от 28.10.2021 № 422</w:t>
        </w:r>
      </w:hyperlink>
      <w:r w:rsidRPr="00E340C9">
        <w:rPr>
          <w:rFonts w:ascii="Cuprum" w:eastAsia="Times New Roman" w:hAnsi="Cuprum" w:cs="Times New Roman"/>
          <w:color w:val="111111"/>
          <w:sz w:val="30"/>
          <w:szCs w:val="30"/>
          <w:lang w:eastAsia="ru-RU"/>
        </w:rPr>
        <w:t> «О мерах по совершенствованию защиты персональных данных»).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 xml:space="preserve">К данным ресурсам (системам) следует относить, например, такие распространенные в учреждениях образования ресурсы (системы), как </w:t>
      </w:r>
      <w:r w:rsidRPr="00E340C9">
        <w:rPr>
          <w:rFonts w:ascii="Cuprum" w:eastAsia="Times New Roman" w:hAnsi="Cuprum" w:cs="Times New Roman"/>
          <w:color w:val="111111"/>
          <w:sz w:val="30"/>
          <w:szCs w:val="30"/>
          <w:lang w:eastAsia="ru-RU"/>
        </w:rPr>
        <w:lastRenderedPageBreak/>
        <w:t>корпоративная электронная почта, программное обеспечение для ведения бухгалтерского учета и отчетности, кадрового учета, сайты учреждений, автоматизированные системы контроля и управления доступом, системы видеонаблюдения, системы электронного документооборота и т. п.</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5. Перечень уполномоченных лиц (если для обработки персональных данных в учреждении образования привлекаются такие лица).</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Данный перечень может быть установлен как в виде отдельного документа, так и в документах, определяющих политику оператора в отношении обработки персональных данных, реестре обработки персональных данных.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При этом учреждение образования при заключении договора с уполномоченным лицом должно руководствоваться </w:t>
      </w:r>
      <w:hyperlink r:id="rId9" w:anchor="&amp;Article=7" w:tgtFrame="_blank" w:history="1">
        <w:r w:rsidRPr="00E340C9">
          <w:rPr>
            <w:rFonts w:ascii="Cuprum" w:eastAsia="Times New Roman" w:hAnsi="Cuprum" w:cs="Times New Roman"/>
            <w:color w:val="337AB7"/>
            <w:sz w:val="30"/>
            <w:szCs w:val="30"/>
            <w:u w:val="single"/>
            <w:lang w:eastAsia="ru-RU"/>
          </w:rPr>
          <w:t>ст. 7 Закона</w:t>
        </w:r>
      </w:hyperlink>
      <w:r w:rsidRPr="00E340C9">
        <w:rPr>
          <w:rFonts w:ascii="Cuprum" w:eastAsia="Times New Roman" w:hAnsi="Cuprum" w:cs="Times New Roman"/>
          <w:color w:val="111111"/>
          <w:sz w:val="30"/>
          <w:szCs w:val="30"/>
          <w:lang w:eastAsia="ru-RU"/>
        </w:rPr>
        <w:t>.</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6. Формы согласия субъекта персональных данных.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Учреждение образования должно разработать и утвердить формы согласия субъекта персональных данных для обработки персональных данных, осуществляемой на основании согласия. Важно учитывать, что для разных целей обработки формы согласия могут отличаться (по кругу обрабатываемых персональных данных, сроку хранения, кругу уполномоченных лиц и т. п.).</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С примерной формой согласия можно ознакомиться на </w:t>
      </w:r>
      <w:hyperlink r:id="rId10" w:tgtFrame="_blank" w:history="1">
        <w:r w:rsidRPr="00E340C9">
          <w:rPr>
            <w:rFonts w:ascii="Cuprum" w:eastAsia="Times New Roman" w:hAnsi="Cuprum" w:cs="Times New Roman"/>
            <w:color w:val="337AB7"/>
            <w:sz w:val="30"/>
            <w:szCs w:val="30"/>
            <w:u w:val="single"/>
            <w:lang w:eastAsia="ru-RU"/>
          </w:rPr>
          <w:t>сайте НЦЗПД</w:t>
        </w:r>
      </w:hyperlink>
      <w:r w:rsidRPr="00E340C9">
        <w:rPr>
          <w:rFonts w:ascii="Cuprum" w:eastAsia="Times New Roman" w:hAnsi="Cuprum" w:cs="Times New Roman"/>
          <w:color w:val="111111"/>
          <w:sz w:val="30"/>
          <w:szCs w:val="30"/>
          <w:lang w:eastAsia="ru-RU"/>
        </w:rPr>
        <w:t>.</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7. Документ, устанавливающий порядок удаления (уничтожения) персональных данных.</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Данный документ может быть оформлен как отдельный локальный правовой акт либо включен в локальный акт, определяющий порядок функционирования информационной системы (ресурса), политику информационной безопасности.</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b/>
          <w:bCs/>
          <w:i/>
          <w:iCs/>
          <w:color w:val="111111"/>
          <w:sz w:val="30"/>
          <w:szCs w:val="30"/>
          <w:lang w:eastAsia="ru-RU"/>
        </w:rPr>
        <w:t>8. Документ, определяющий порядок учета предоставления персональных данных третьим лицам.</w:t>
      </w:r>
    </w:p>
    <w:p w:rsidR="00E340C9" w:rsidRPr="00E340C9" w:rsidRDefault="00E340C9" w:rsidP="00E340C9">
      <w:pPr>
        <w:shd w:val="clear" w:color="auto" w:fill="FFFFFF"/>
        <w:spacing w:after="150" w:line="240" w:lineRule="auto"/>
        <w:jc w:val="both"/>
        <w:rPr>
          <w:rFonts w:ascii="Cuprum" w:eastAsia="Times New Roman" w:hAnsi="Cuprum" w:cs="Times New Roman"/>
          <w:color w:val="111111"/>
          <w:sz w:val="30"/>
          <w:szCs w:val="30"/>
          <w:lang w:eastAsia="ru-RU"/>
        </w:rPr>
      </w:pPr>
      <w:r w:rsidRPr="00E340C9">
        <w:rPr>
          <w:rFonts w:ascii="Cuprum" w:eastAsia="Times New Roman" w:hAnsi="Cuprum" w:cs="Times New Roman"/>
          <w:color w:val="111111"/>
          <w:sz w:val="30"/>
          <w:szCs w:val="30"/>
          <w:lang w:eastAsia="ru-RU"/>
        </w:rPr>
        <w:t>Целесообразно вести учет предоставления персональных данных третьим лицам (например, в журнале). При отсутствии такого учета будет затруднительно в полной мере выполнять обязанности оператора (например, реализовывать право субъекта персональных данных, предусмотренное </w:t>
      </w:r>
      <w:hyperlink r:id="rId11" w:anchor="&amp;Article=12" w:tgtFrame="_blank" w:history="1">
        <w:r w:rsidRPr="00E340C9">
          <w:rPr>
            <w:rFonts w:ascii="Cuprum" w:eastAsia="Times New Roman" w:hAnsi="Cuprum" w:cs="Times New Roman"/>
            <w:color w:val="337AB7"/>
            <w:sz w:val="30"/>
            <w:szCs w:val="30"/>
            <w:u w:val="single"/>
            <w:lang w:eastAsia="ru-RU"/>
          </w:rPr>
          <w:t>ст. 12 Закона</w:t>
        </w:r>
      </w:hyperlink>
      <w:r w:rsidRPr="00E340C9">
        <w:rPr>
          <w:rFonts w:ascii="Cuprum" w:eastAsia="Times New Roman" w:hAnsi="Cuprum" w:cs="Times New Roman"/>
          <w:color w:val="111111"/>
          <w:sz w:val="30"/>
          <w:szCs w:val="30"/>
          <w:lang w:eastAsia="ru-RU"/>
        </w:rPr>
        <w:t>, на получение информации о предоставлении персональных данных третьим лицам).</w:t>
      </w:r>
    </w:p>
    <w:p w:rsidR="005813D7" w:rsidRDefault="005813D7"/>
    <w:sectPr w:rsidR="00581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0B9"/>
    <w:multiLevelType w:val="multilevel"/>
    <w:tmpl w:val="54C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C9"/>
    <w:rsid w:val="005813D7"/>
    <w:rsid w:val="00E3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AE42"/>
  <w15:chartTrackingRefBased/>
  <w15:docId w15:val="{ADA0EB25-B403-400B-8F44-5060C252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340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40C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3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40C9"/>
    <w:rPr>
      <w:color w:val="0000FF"/>
      <w:u w:val="single"/>
    </w:rPr>
  </w:style>
  <w:style w:type="character" w:styleId="a5">
    <w:name w:val="Strong"/>
    <w:basedOn w:val="a0"/>
    <w:uiPriority w:val="22"/>
    <w:qFormat/>
    <w:rsid w:val="00E340C9"/>
    <w:rPr>
      <w:b/>
      <w:bCs/>
    </w:rPr>
  </w:style>
  <w:style w:type="character" w:styleId="a6">
    <w:name w:val="Emphasis"/>
    <w:basedOn w:val="a0"/>
    <w:uiPriority w:val="20"/>
    <w:qFormat/>
    <w:rsid w:val="00E340C9"/>
    <w:rPr>
      <w:i/>
      <w:iCs/>
    </w:rPr>
  </w:style>
  <w:style w:type="paragraph" w:customStyle="1" w:styleId="note-bg">
    <w:name w:val="note-bg"/>
    <w:basedOn w:val="a"/>
    <w:rsid w:val="00E34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965376">
      <w:bodyDiv w:val="1"/>
      <w:marLeft w:val="0"/>
      <w:marRight w:val="0"/>
      <w:marTop w:val="0"/>
      <w:marBottom w:val="0"/>
      <w:divBdr>
        <w:top w:val="none" w:sz="0" w:space="0" w:color="auto"/>
        <w:left w:val="none" w:sz="0" w:space="0" w:color="auto"/>
        <w:bottom w:val="none" w:sz="0" w:space="0" w:color="auto"/>
        <w:right w:val="none" w:sz="0" w:space="0" w:color="auto"/>
      </w:divBdr>
      <w:divsChild>
        <w:div w:id="1402870147">
          <w:marLeft w:val="0"/>
          <w:marRight w:val="0"/>
          <w:marTop w:val="0"/>
          <w:marBottom w:val="0"/>
          <w:divBdr>
            <w:top w:val="none" w:sz="0" w:space="0" w:color="auto"/>
            <w:left w:val="none" w:sz="0" w:space="0" w:color="auto"/>
            <w:bottom w:val="none" w:sz="0" w:space="0" w:color="auto"/>
            <w:right w:val="none" w:sz="0" w:space="0" w:color="auto"/>
          </w:divBdr>
          <w:divsChild>
            <w:div w:id="2189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p32100422&amp;q_id=70136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ck.ru/gQKD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ck.ru/auFnc" TargetMode="External"/><Relationship Id="rId11" Type="http://schemas.openxmlformats.org/officeDocument/2006/relationships/hyperlink" Target="https://etalonline.by/document/?regnum=h12100099&amp;q_id=7013576" TargetMode="External"/><Relationship Id="rId5" Type="http://schemas.openxmlformats.org/officeDocument/2006/relationships/hyperlink" Target="https://etalonline.by/document/?regnum=h12100099&amp;q_id=7013576" TargetMode="External"/><Relationship Id="rId10" Type="http://schemas.openxmlformats.org/officeDocument/2006/relationships/hyperlink" Target="http://clck.ru/33UYpE" TargetMode="External"/><Relationship Id="rId4" Type="http://schemas.openxmlformats.org/officeDocument/2006/relationships/webSettings" Target="webSettings.xml"/><Relationship Id="rId9" Type="http://schemas.openxmlformats.org/officeDocument/2006/relationships/hyperlink" Target="https://etalonline.by/document/?regnum=h12100099&amp;q_id=7013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2023-06-25T19:16:00Z</dcterms:created>
  <dcterms:modified xsi:type="dcterms:W3CDTF">2023-06-25T19:18:00Z</dcterms:modified>
</cp:coreProperties>
</file>