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CD" w:rsidRPr="00731ECD" w:rsidRDefault="00731ECD" w:rsidP="00731E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31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ПРОКУРАТУРА ВИТЕБСКОЙ ОБЛАСТИ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0000" w:rsidRPr="00731ECD" w:rsidRDefault="00731ECD" w:rsidP="00731E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1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МЕТОДИЧЕСКИЕ РЕКОМЕНДАЦИИ О ПОРЯДКЕ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1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ВЗАИМОДЕЙСТВИЯ ПО ПРОФИЛАКТИКЕ ПРЕСТУПЛЕНИЙ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1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ПРОТИВ ПОЛОВОЙ НЕПРИКОСНОВЕННОСТИ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1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НЕСОВЕРШЕННОЛЕТНИХ</w:t>
      </w:r>
    </w:p>
    <w:p w:rsidR="00731ECD" w:rsidRPr="00731ECD" w:rsidRDefault="00731ECD" w:rsidP="0073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1ECD" w:rsidRPr="00731ECD" w:rsidRDefault="00731ECD" w:rsidP="0073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1ECD" w:rsidRPr="00731ECD" w:rsidRDefault="00731ECD" w:rsidP="00731E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1ECD">
        <w:rPr>
          <w:rFonts w:ascii="Times New Roman" w:hAnsi="Times New Roman" w:cs="Times New Roman"/>
          <w:color w:val="000000"/>
          <w:sz w:val="24"/>
          <w:szCs w:val="24"/>
        </w:rPr>
        <w:t>Уважаемые коллеги !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Одним из важнейших направлений социальной политики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государства является защита детства, обеспечение прав и законных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интересов несовершеннолетних, учащейся молодежи.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В последнее время стали особую тревогу вызывать преступления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против половой неприкосновенности несовершеннолетних.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t>В Витебской области в 2018 году 7 детей пострадало от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изнасилований (ст. 166 УК Республики Беларусь - далее УК) (2017 г. -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11), 44 ребенка - от насильственных действий сексуального характера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(ст. 167 УК) (2017 г . - 37), 56 детей - от половых «растлений» в возрасте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до 16 лет (ст.168 УК) (2017 г. — 62), 35 детей пострадало от развратных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действий (ст. 169 УК) (2017 г. - 5). Таким образом, 142 ребенка являются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пострадавшими от преступлений против половой неприкосновенности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(2017 г .-115).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t>Учитывая урон данных преступлений для психики детей, в том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числе малолетних, их здоровью, то, что преступники пользуются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беспомощным состоянием несовершеннолетних, в нашем государстве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данные преступления, как правило, отнесены к категориям тяжких и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особо тяжких.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t>Эффективность борьбы с этим злом зависит от уровня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координации и взаимодействия субъектов профилактики,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правоохранительных органов, учреждений образования,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здравоохранения, общественных объединений и иных организаций.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t>Важную роль по данному направлению деятельности играют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своевременность выявления данных преступлений и оказания помощи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пострадавшим детям и семьям, правовое просвещение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несовершеннолетних и их родителей.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t>Однако дети, несовершеннолетние и учащаяся молодежь не всегда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должным образом осознают вероломство насильников, опасность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«растления», ранней половой жизни. Зачастую они не представляют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себе катастрофических последствий знакомства и общения посредством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сети Интернет, боязни сообщить взрослым о случившемся и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перекладывания вины на себя.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t>Для педагогов и медицинских работников при проведении работы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представляют определенную сложность юридические аспекты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проблемы, не всегда понятна структура взаимодействия с органами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внутренних дел.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t>В связи с этим, прокуратурой Витебской области с учетом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предложений главного управления по образованию, главного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управления по здравоохранению Витебского облисполкома, управления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по наркоконтролю и противодействию торговли людьми УВД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облисполкома подготовлены данные методические рекомендации.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1E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t>В методических рекомендациях преднамеренно использован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простой стиль изложения без излишней детализации действий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  <w:t>ответственных лиц в целях доведения в наиболее доступной форме</w:t>
      </w:r>
      <w:r w:rsidRPr="00731EC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31ECD" w:rsidRDefault="00731ECD" w:rsidP="00731E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731ECD" w:rsidRDefault="00731ECD" w:rsidP="00731E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731ECD" w:rsidRDefault="00731ECD" w:rsidP="00731E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731ECD" w:rsidRDefault="00731ECD" w:rsidP="00731E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731ECD" w:rsidRPr="00731ECD" w:rsidRDefault="00731ECD" w:rsidP="00D75F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31E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2. Понятие и уголовная ответственность преступлений против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1E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половой неприкосновенности несовершеннолетних</w:t>
      </w:r>
      <w:r w:rsidRPr="00731EC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31ECD" w:rsidRDefault="00731ECD" w:rsidP="00D75F9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</w:pPr>
      <w:r w:rsidRPr="00731ECD">
        <w:rPr>
          <w:rFonts w:ascii="Times New Roman" w:hAnsi="Times New Roman" w:cs="Times New Roman"/>
          <w:color w:val="000000"/>
          <w:sz w:val="20"/>
          <w:szCs w:val="20"/>
        </w:rPr>
        <w:t>Для того, что противостоять этому злу, необходимо примерно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представлять, в чем именно выражаются преступные действия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насильников, о которых необходимо сообщить правоохранительным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органам. В данной главе будут приведены основные, встречающиеся в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настоящее время, условно называющиеся «физически контактные» 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«физически неконтактные» преступления с указанием уголовных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наказаний.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Юридические понятия преступлений содержатся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в главе 20 УК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Республики Беларусь «Преступления против половой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неприкосновенности или половой свободы».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Уголовным Кодексом предусмотрена уголовная ответственность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за следующие умышленные преступления.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*Под малолетним понимается лицо, не достигшее возраста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четырнадцати лет.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*Под несовершеннолетним понимается лицо, не достигшее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возраста восемнадцати лет.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Контактные преступления.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31E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Статья 166. Изнасилование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1. Половое сношение вопреки воле потерпевшей с применением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насилия или с угрозой его применения к женщине или ее близким либо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с использованием беспомощного состояния потерпевшей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(изнасилование) - наказывается ограничением свободы на срок до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четырех лет или лишением свободы на срок от трех до семи лет.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2. Изнасилование, совершенное повторно, либо группой лиц, либо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лицом, ранее совершившим действия, предусмотренные статьей 167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 xml:space="preserve">настоящего Кодекса, либо изнасилование заведомо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несовершеннолетней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— наказывается лишением свободы на срок от пяти до тринадцати лет.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 xml:space="preserve">3. Изнасилование заведомо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малолетней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или изнасилование,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повлекшее по неосторожности смерть потерпевшей, либо причинение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тяжких телесных повреждений, либо заражение ВИЧ, либо иные тяжкие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последствия — наказывается лишением свободы на срок от восьми до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пятнадцати лет.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Такие преступления могут быть совершены только в отношении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девочек и девушек против их воли.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31E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Статья 167. Насильственные действия сексуального характера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1. Мужеложство, лесбиянство или иные действия сексуального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характера, совершенные вопреки воле потерпевшего (потерпевшей) с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применением насилия или с угрозой его применения либо с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использованием беспомощного состояния потерпевшего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(потерпевшей) - наказываются ограничением свободы на срок до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четырех лет или лишением свободы на срок от трех до семи лет.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2. Те же действия, совершенные повторно, либо лицом, ранее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совершившим изнасилование, либо группой лиц, либо в отношении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 xml:space="preserve">заведомо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несовершеннолетнего (несовершеннолетней)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–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наказываются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лишением свободы на срок от пяти до тринадцати лет.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3. Действия, предусмотренные частями 1 или 2 настоящей статьи,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 xml:space="preserve">совершенные в отношении заведомо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малолетнего (малолетней),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либо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повлекшие по неосторожности смерть потерпевшего (потерпевшей),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либо причинение тяжких телесных повреждений, либо заражение ВИЧ,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либо иные тяжкие последствия - наказываются лишением свободы на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срок от восьми до пятнадцати лет.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Данные преступления могут быть совершены в отношении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малолетних и несовершеннолетних обоих полов также с обязательным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признаком насилия, то есть против их воли.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31E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Статья 168. Половое сношение и иные действия сексуального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31E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характера с лицом, не достигшим шестнадцатилетнего возраста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1. Половое сношение, мужеложство, лесбиянство или иные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действия сексуального характера, совершенные лицом, достигшим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восемнадцатилетнего возраста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 xml:space="preserve">, с лицом, заведомо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не достигшим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шестнадцатилетнего возраста,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при отсутствии признаков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преступлений, предусмотренных статьями 166 и 167 настоящего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Кодекса - наказываются ограничением свободы на срок до четырех лет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или лишением свободы на тот же срок со штрафом.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2. Те же действия, совершенные лицом, ранее совершившим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преступления, предусмотренные настоящей статьей, статьями 166 или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167 настоящего Кодекса, либо лицом, на которое возложены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обязанности по воспитанию, содержанию, обеспечению безопасности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жизни и здоровья несовершеннолетнего, либо группой лиц -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наказываются лишением свободы на срок от трех до десяти лет.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Данные преступления характеризуются добровольностью, однако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взрослое лицо, вступая в связь с несовершеннолетними любого пола,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когда им не исполнилось 16 лет, и они морально и физически для этого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не созрели, таким образом «растлевает» ребенка. Также необходимо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понимать, что, если между подростками, которым обоим не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исполнилось 16 лет, либо одному из них 17 лет, а второму - 15 лет,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образовалась такая связь, то это не является преступлением.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Усугубляет уголовную ответственность в данном случае повторность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и другие признаки.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31E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Статья 169. Развратные действия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1. Развратные действия, совершенные лицом, достигшим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 xml:space="preserve">восемнадцатилетнего возраста, в отношении лица, заведомо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не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достигшего шестнадцатилетнего возраста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, при отсутствии признаков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 xml:space="preserve">преступлений, предусмотренных статьями </w:t>
      </w:r>
      <w:r w:rsidRPr="00731EC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166, 167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731EC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168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настоящего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Кодекса - наказываются арестом или лишением свободы на срок от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одного года до трех лет.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2. Те же действия, совершенные с применением насилия или с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угрозой его применения - наказываются лишением свободы на срок от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трех до шести лет.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Эти преступления могут быть совершены как с применением</w:t>
      </w:r>
      <w:r w:rsidR="002B69B6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насилия, так и без него.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Неконтактные преступления.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31E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Статья 343. Изготовление и распространение</w:t>
      </w:r>
      <w:r w:rsidR="002B69B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порнографических материалов или предметов порнографического</w:t>
      </w:r>
      <w:r w:rsidR="002B69B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характера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1. Изготовление либо хранение с целью распространения или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lastRenderedPageBreak/>
        <w:t>рекламирования либо распространение, рекламирование, трансляция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или публичная демонстрация порнографических материалов, печатных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изданий, изображений, кино-, видеофильмов или сцен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порнографического содержания, иных предметов порнографического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характера - наказываются общественными работами, или штрафом, или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исправительными работами на срок до двух лет, или арестом.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2. Те же действия, совершенные группой лиц по предварительному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 xml:space="preserve">сговору либо организованной группой или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 использованием глобальной</w:t>
      </w:r>
      <w:r w:rsidR="002B69B6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компьютерной сети Интернет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, иной сети электросвязи общего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пользования либо выделенной сети электросвязи, а равно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распространение, рекламирование, трансляция или демонстрация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 xml:space="preserve">заведомо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несовершеннолетнему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порнографических материалов,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печатных изданий, изображений, кино-, видеофильмов или сцен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порнографического содержания, иных предметов порнографического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характера, совершенные лицом, достигшим восемнадцатилетнего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возраста - наказываются лишением свободы на срок от двух до четырех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лет.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Это преступления отличаются тем, что направлены, в первую</w:t>
      </w:r>
      <w:r w:rsidR="002B69B6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очередь, на возбуждение взрослыми лицами у несовершеннолетних</w:t>
      </w:r>
      <w:r w:rsidR="002B69B6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нездорового интереса к запретным темам, а также на формирование</w:t>
      </w:r>
      <w:r w:rsidR="002B69B6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 них, учитывая их возраст, псевдо нормального отношения не к</w:t>
      </w:r>
      <w:r w:rsidR="002B69B6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традиционным гендерным отношениям, а развратным половым связям.</w:t>
      </w:r>
      <w:r w:rsidR="002B69B6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Нередко, такие действия служат «первым шагом» для</w:t>
      </w:r>
      <w:r w:rsidR="002B69B6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совершения в отношении детей более тяжких «контактных»</w:t>
      </w:r>
      <w:r w:rsidR="002B69B6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преступлений, описанных выше (cm.cm.166 — 169 УК).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31E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Статья 343-1. Изготовление и распространение</w:t>
      </w:r>
      <w:r w:rsidR="002B69B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порнографических материалов или предметов порнографического</w:t>
      </w:r>
      <w:r w:rsidR="002B69B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характера с изображением </w:t>
      </w:r>
      <w:r w:rsidRPr="00731EC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несовершеннолетнего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1. Изготовление либо хранение с целью распространения или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рекламирования либо распространение, рекламирование, трансляция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или публичная демонстрация порнографических материалов, печатных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изданий, кино-, видеофильмов или сцен порнографического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содержания, иных предметов порнографического характера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</w:t>
      </w:r>
      <w:r w:rsidR="002B69B6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изображением заведомо несовершеннолетнего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- наказываются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исправительными работами на срок до двух лет, или арестом, или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ограничением свободы на срок до четырех лет, или лишением свободы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на тот же срок.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br/>
        <w:t>2. Те же действия, совершенные лицом, ранее совершившим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преступления, предусмотренные настоящей статьей или частью 2 статьи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343 настоящего Кодекса, либо группой лиц по предварительному</w:t>
      </w:r>
      <w:r w:rsidR="002B69B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>сговору или с</w:t>
      </w:r>
      <w:r w:rsidRPr="00731ECD">
        <w:rPr>
          <w:color w:val="000000"/>
          <w:sz w:val="20"/>
          <w:szCs w:val="20"/>
        </w:rPr>
        <w:t xml:space="preserve"> </w:t>
      </w:r>
      <w:r w:rsidRPr="00731ECD"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использованием глобальной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компьютерной сети</w:t>
      </w:r>
      <w:r w:rsidR="002B69B6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731E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Интернет</w:t>
      </w:r>
      <w:r w:rsidR="002B69B6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>.</w:t>
      </w:r>
    </w:p>
    <w:p w:rsidR="002B69B6" w:rsidRPr="00643694" w:rsidRDefault="002B69B6" w:rsidP="0064369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2B69B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3. Выявление противоправных деяний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Основными документами, регламентирующими порядок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взаимодействия, информирования педагогами и медицинскими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работниками о возможных фактах преступлений против половой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неприкосновенности являются: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- Положение о порядке представления организациями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здравоохранения в правоохранительные органы информации,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составляющей врачебную тайну, утвержденное постановлением Совета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Министров Республики Беларусь от 18.12.2014 №1192;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- совместное письмо Министерства здравоохранения Республики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Беларусь от 05.04.2018 №24/9363, №3-3-9/4458 «Об обеспечении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взаимодействия», которым определен алгоритм взаимодействия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территориальных учреждений здравоохранения и органов внутренних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дел»;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- приказ управления здравоохранения Витебского облисполкома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от 13.02.2017 №59 «О предоставлении информации»;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- письмо Министерства образования Республики Беларусь от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07.02.2018 №05-01-07/1121/дс «Алгоритм информирования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педагогическими работниками родителей, опекунов, попечителей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обучающихся и (или) сотрудников органов внутренних дел о наличии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признаков насилия в отношении несовершеннолетних»;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- Методические рекомендации по своевременному выявлению 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информированию специалистами учреждений образования,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здравоохранения о фактах насилия в отношении несовершеннолетних,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утвержденные в 2016 году Витебским облисполкомом и прокуратурой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Витебской области.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Данные документы доведены до сведения облисполкомом до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горрайисполкомов, администраций в г.Витебске. Для их надлежащего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изучения и применения в 2017 - 2018 г.г. неоднократно проводились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учебно-семинарские занятия с педагогическими и медицинскими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специалистами.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Однако следует признать, что еще не во всех учреждениях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образования и здравоохранения, их органах управления в регионах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четко представляют себе систему взаимодействия с органами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внутренних дел по данному направлению деятельности, либо допускают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просчеты и ошибки при организации данной работы.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B69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 примеру, при совместном анализе с главным управлением по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здравоохранению облисполкома ситуации за 9-тъ месяцев 2018 г.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установлено, что в органы внутренних дел учреждениями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здравоохранения передано значительно больше сведений - 192 сигнала о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таких преступлениях (2017 г. — 108). Однако в Городокском,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B69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Докшицком, Лиозненском районах за последние два года такие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сведения не направлялись вовсе. По ряду уголовных дел, возбужденных в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2018 году, было установлено, что при наличии информации о признаках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B69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противоправных действий в отношении детей некоторыми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учреждениями образования сведения не передавались либо передавались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 ОВД несвоевременно.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Поэтому предлагается следующий «пошаговый» алгоритм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действий руководителей учреждений образования, здравоохранения,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отделов и управлений по образованию, центральных районных больниц.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Итак, для того, чтобы понять, должным ли образом налажено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информирования органов внутренних дел о фактах насилия над детьми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руководителям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учреждений следует: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- самому детально, в том числе повторно, изучить указанные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документы относительно своей компетенции, сделав для себя анализ,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соответствует ли организация работы в учреждении изложенным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требованиям (например, назначены ли ответственные за передачу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сведений в ОВД лица, имеются ли в наличии перечисленные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документы, ознакомлены ли с ними работники, имелись либо нет факты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передачи таких сведений, почему и т.п.);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- провести собеседование, желательно индивидуальное, с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подчиненными, сделав вывод, понимают ли они суть проблемы,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обладают ли умением распознать описанными в документах способами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и методами признаки насилия над детьми, осознают ли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 xml:space="preserve">конфидеальность проблемы, знают ли, куда и в какой форме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lastRenderedPageBreak/>
        <w:t>нужно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передавать сведения, не имеется ли боязни понести дисциплинарную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ответственность, если сигнал «перерастет» в уголовное дело;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- установить, имеются ли в учреждении контакты с ОВД,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статистические сведения о направленных сигналах, результатах их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рассмотрения в ОВД.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В указанных документах подробным образом перечислены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источники, откуда могут стать известны факты о возможных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противоправных действиях в отношении детей - это физические следы,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психологические признаки поведения, вербальное сообщение детей,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родителей, лиц, из их окружения, рисунки, переписка с использованием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сети Интернет, сотовых телефонов и т.д.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Однако в данном аспекте имеется одна проблема, на которой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хотелось бы остановиться подробнее. В отдельных случаях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ответственное лицо, получив либо выявив сведения о противоправных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действиях в отношении несовершеннолетних, начинает самостоятельно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оценивать, соответствует ли данная информация действительности, 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после этого не направляет такие сведения в ОВД, делает так также из-за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того, что якобы станет вопрос об ответственности за ложный донос.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Такая позиция представляется неверной, поскольку педагоги 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врачи не обладают полномочиями милиционеров, следователей по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опросу причастных лиц, осмотру места происшествия, истребованию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дополнительных сведений и т.п. В данном случае направляется сигнал 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возможном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наличии признаков преступления. А имеется ли факт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преступления либо нет, в порядке статей 173 - 174 Уголовно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процессуального кодекса проверят милиционеры и следователи. Важно,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чтобы на момент передачи сведений ответственное лицо четко знало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источник получения информации, и при направлении в ОВД она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содержала фактическое описание полученных данных.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Кроме того, нужно еще и помнить, что имеется такая спецификаработы, как проверка полученных первоначальных сведений с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использованием дружественных комнат опроса, имеющихся в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социально педагогических центрах г.Витебска, г.Новополоцка,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г.Чашниках.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Следует отметить, что с ОВД также следует обмениваться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информацией, которая напрямую не свидетельствует о признаках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преступления, но может говорить о необходимости проверки ОВД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 xml:space="preserve">подозрительных отношений взрослых и детей </w:t>
      </w:r>
      <w:r w:rsidRPr="002B69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(к примеру, имеется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информация о том, что одинокое взрослое лицо по его месту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жительства регулярно посещается несовершеннолетними, и неизвестна цель таких посещений. Впоследствии при дополнительной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проверке ОВД может выясниться, что цель этих отношений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развращение детей).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Также при передаче сведений в ОВД нужно неукоснительно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соблюдать строгую конфиденциальность и своевременность, принимая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меры по недопущению разглашения данных сведений в учреждении и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среди коллег, детского коллектива и т.п. Нужно стремиться к тому,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чтобы первые проверочные мероприятия с несовершеннолетними с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участием правоохранительных органов проводились вне учреждений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образования.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B69B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4. Воспитательная и разъяснительная работа как мера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предупреждения вовлечения детей в деструктивное поведение (втом числе с использованием сети Интернет).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Данная тема довольно деликатная, поскольку жертвами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преступлений нередко становятся малолетние дети. Детей, с одной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стороны, нужно уберечь от насильников, с другой стороны — их нельзя в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раннем возрасте посвящать в подробности половых отношений, тем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более таких развращенных.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Зачастую, противоправные действия взрослыми совершаются с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использованиём общения в сети Интернет. Это может выражаться, в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убеждении ребенка в проявлении сексуального поведения или имитации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сексуальных действий, сопровождаемые видео регистрацией или он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лайн трансляцией посредством веб-камеры (видео потом может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использоваться в целях шантажа); в создании, хранении 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распространении фотографий с детской порнографией; в переписке по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подготовке ребенка в целях личной встречи для сексуальных действий,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в развитии риторики «подмены понятий», когда внушается, что ранняя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половая жизнь, сексуальные развращения - это норма поведения, и где-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то даже «авторитетная».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 связи с этим, немаловажным также является нормальное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воспитание несовершеннолетних в духе разъяснения семейных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ценностей, гендерных отношений, интимных отношений между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мужчиной и женщиной, в первую очередь, направленных на создание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семьи либо иных нормальных ответственных отношений.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Рекомендованные Министерством образования Республики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Беларусь программы факультативных занятий, система воспитательных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мероприятий (классных, информационных часов, внеклассных 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общешкольных мероприятий), учебные предметы Биология , Основы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безопасности жизнедеятельности44 позволяют в определенной мере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реализовать поставленные задачи.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К примеру, осуществляется внедрение и системный мониторинг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по Витебской области учебной программы факультативных занятий по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формированию у учащихся навыков ответственного и безопасного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поведения ”Мы - сами“ для 5-8 классов учреждений общего среднего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образования. Тематика занятий с элементами тренинга: ’’Гармония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взаимоотношений44, ’’Формирование личной ответственности за свою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жизнь и благополучие близких людей44, ’’Профилактика инфекций,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передающихся половым путем44 и др. Программа разработана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Витебским областным институтом развития образования и Витебским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областным клиническим центр</w:t>
      </w:r>
      <w:r w:rsidR="00011449">
        <w:rPr>
          <w:rFonts w:ascii="Times New Roman" w:hAnsi="Times New Roman" w:cs="Times New Roman"/>
          <w:color w:val="000000"/>
          <w:sz w:val="20"/>
          <w:szCs w:val="20"/>
        </w:rPr>
        <w:t>ом психиатрии и наркологии.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В учебно-тематические планы включены занятия, направленные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на получение знаний по гендерному, духовно-нравственному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воспитанию, формированию здорового образа жизни детей и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подростков: ’’Жизнь и здоровье как общечеловеческая ценность44,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’’Современные модели воспитания44, ’’Современные подходы работы с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семьей44, ’’Воспитание экологической культуры и формирование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здорового образа жизни личности44, ’’Воспитание семейной, бытовой и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досуговой культуры личности44, ’’Воспитание культуры самопознания и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саморегуляции личности44, ’’Возрастные особенности личности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учащегося: периоды, кризисы, новообразования, ведущая деятельность44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 области реализуются областные инновационные проекты: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’’Активное взаимодействие школы, семьи и общественности как условие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формирования успешной личности44, ’’Внедрение модели развития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личности воспитанников в условиях духовно-нравственного воспитания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на основе идеалов и ценностей белорусского народа44, ’’Адаптация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развития детей раннего возраста посредством работы ’’Материнской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школы44. Разработаны методические материалы для специалистов СППС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по особенностям гендерного воспитания обучающихся.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Таким образом, проводится определенная работа, направленная на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 xml:space="preserve">гендерное воспитание, половую неприкосновенность, формирование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lastRenderedPageBreak/>
        <w:t>у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учащихся и родителей позитивных моделей поведения, культуры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безопасной жизнедеятельности. Однако в учреждениях образования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области основной упор в этом направлении делается на проведение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тематических воспитательных мероприятий, информационных и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классных часов. Наряду с этим, хотелось бы, чтобы воспитательная и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разъяснительная работа носила по данному направлению деятельности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более конкретизированный и индивидуальный подход.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 связи с заявительным принципом проведения факультативных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занятий наиболее востребованными являются факультативы по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учебным предметам (математике, языкам, физике, химии и др.), а не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этой теме. Для систематизации работы в данном направлении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предлагается в учреждениях образования: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1. Разработать систему тематических классных часов по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параллелям классов (с 1 по 11 классы) по 2 занятия в год с учетом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возрастных особенностей учащихся и специфики восприятия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информации.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2. Проводить эти мероприятия с участием сотрудников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правоохранительных органов, медицинских работников с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использованием соответствующих информационных материалов (в том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числе настоящих методических рекомендаций), с разъяснением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несовершеннолетним и их родителям вопросов половой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неприкосновенности, правил поведения при возникновении данного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вида угроз, правил компьютерной безопасности.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3. Провести разъяснительную работу с педагогами и родителями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по вопросам выявления и незамедлительного реагирования на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отклонения в поведении несовершеннолетних, информирования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специалистов СППС и СПЦ, а также представителей органов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внутренних дел в случае подтверждения фактов и угроз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противоправного поведения.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4. Среди учащихся, входящих в возраст полового созревания,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достигших 18 лет необходимо провести отдельную разъяснительную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работу об уголовной ответственности по ст.168 УК, когда связь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происходит добровольно лицом, достигшим 18 лет с лицом, не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достигшим 16 лет.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Вместе с тем, при проведении данной работы в учреждениях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нужно ориентироваться на следующие </w:t>
      </w:r>
      <w:r w:rsidRPr="002B69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принципы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- воспитательная и разъяснительная работа среди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несовершеннолетних, их родителей, педагогических и медицинских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работников не должна носить характер рекламы половых извращений;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- доступность и простота информации;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- результативность (педагоги, дети, родители должны понимать,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как распознать угрозу, к кому в этом случае обращаться);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- исключение излишней детализации (особенно при работе с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малолетними учащимися. Занятия среди них должны быть очень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непродолжительными, возможно в рамках других воспитательных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мероприятий им нужно просто объяснить тему, например, под видом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понятий «запретных прикосновений», «запретных разговоров и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обсуждений», «запретных тем в сети Интернет» со стороны взрослых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лиц, разъяснить на принципах доверительных отношений, что в этих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случаях они должны информировать родителей, педагогов и т.д.);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- занятия с педагогами, детьми, родителями необходимо проводить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отдельно, они будут отличаться друг от друга, даже среди детей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различных возрастных групп они будут отличаться.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B69B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5. Роль эффективности предупреждения семейного неблагополучия.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В педагогическом сообществе бытует мнение, что, если будет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выявлено тяжкое половое преступление в отношении учащегося, в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любом случае в этом будет «виновата» ненадлежащая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профилактическая работа учреждения образования. Также, что такая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работа явилась следствием преступления. Однако это не так. ^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Ситуация может сложиться так, что при работе с неблагополучной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семьей ввиду латентного характера преступлений, других объективных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причин учреждение образования может не знать, что в отношении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ребенка совершаются противоправные действия, может «видеть» лишь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явные признаки семейного неблагополучия (например, когда не имеется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сведений о признаках преступлений, указанных в главе 1).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Однако необходимо преодолеть стереотип, потому что при работе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 неблагополучной семьей предусмотренные мероприятия должны</w:t>
      </w:r>
      <w:r w:rsidR="0001144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выполняться надлежаще, что возможно убережет детей от состояния</w:t>
      </w:r>
      <w:r w:rsidR="00D75F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жертвы (своевременные отобрание, лишение родительских прав и т.п.).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Наряду с этим, ненадлежащая работа по защите прав детей этому</w:t>
      </w:r>
      <w:r w:rsidR="00D75F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способствовать не будет.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Поэтому эффективная, совместная работа с другими субъектами</w:t>
      </w:r>
      <w:r w:rsidR="00D75F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профилактики, выяснение реальной обстановки в семье имеет важное</w:t>
      </w:r>
      <w:r w:rsidR="00D75F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значение в предупреждении этих преступлений.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Однако учреждениями образования области проведено 7</w:t>
      </w:r>
      <w:r w:rsidR="00D75F93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719</w:t>
      </w:r>
      <w:r w:rsidR="00D75F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социальных расследований положения дел в семьях, из них 2</w:t>
      </w:r>
      <w:r w:rsidR="00D75F93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787</w:t>
      </w:r>
      <w:r w:rsidR="00D75F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расследований проведено вообще без участия сотрудников органов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внутренних дел, что ухудшило их качество.</w:t>
      </w:r>
      <w:r w:rsidR="00D75F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Наряду с этим, имеют место факты, когда учреждения образования</w:t>
      </w:r>
      <w:r w:rsidR="00D75F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и органы внутренних дел ведут работу с семьями формально, что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позволяет родителям совершать насилие над детьми, либо, когда такое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насилие происходит при их попустительстве.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В настоящее время расследуются факты совершения в отношении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двух малолетних девочек ряда тяжких преступлений против половой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неприкосновенности. Их матери - сестры А.В. и И.В.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Мать И.В. ранее лишена родительских прав в отношении другого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своего ребенка. Воспитывая свою дочь, 2011 г.р., она не выполняла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родительские обязанности, длительное время нигде не работала,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пьянствовала, дома наблюдалась явная антисанитария. По этой причине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ребенок в 2013 - 2017 г.г. неоднократно признавался находящимся в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социально опасном положении, затем в 2017 - нуждающимся в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государственной защите.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Подобный образ жизни вела ее сестра А.В., воспитывающая дочь,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2013 года рождения, которая проживала вместе с И.В., ребенок в 2016 -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2017 г.г. также неоднократно признавался находящимся в СОП.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В 2017 году имел место факт оставления А.В. и И.В. детей дома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одних на длительное время, когда дети пытались выбраться на улицу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через окно. Помощь детям была оказана лишь, когда соседи вызвали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милицию.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Примечательно, что выводы о временном улучшении ситуации с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детьми И.В. и А.В. на стадии СОП и НГЗ делались учреждениями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образования, СПЦ, КДН, практически, со слов нерадивых матерей, без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документальной проверки правдивости их слов о трудоустройстве,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источнике доходов, устранении пьянства. Органы внутренних дел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фактически самоустранились от работы с этими семьями на стадии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СОП, НГЗ, предоставляя в органы опеки и учреждения образования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 xml:space="preserve">лишь общую информацию о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привлечении матерей к ответственности по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базе учета. Участковые инспектора милиции общественной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безопасности не представляли сведений о реальном образе жизни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родителей. Однако прокуратурой г.Новополоцка выборочным опросом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соседей установлено, что матери часто пьянствовали в компаниях по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месту своего жительства, при этом имели место вызовы милиции по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этому адресу и привлечение виновных за мелкое хулиганство.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Вместе с тем, своевременные меры по лишению нерадивых матерей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родительских прав не приняты.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13.10.2018 Витебским ГОСК возбуждено уголовное дело в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отношении рабочего С.А.П. по ч.2 ст. 166 УК, который в г.Витебске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изнасиловал несовершеннолетнюю, 2004 года рождения, по месту ее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жительства после распития спиртного с ее матерью в компании других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643694">
        <w:rPr>
          <w:rFonts w:ascii="Times New Roman" w:hAnsi="Times New Roman" w:cs="Times New Roman"/>
          <w:color w:val="000000"/>
          <w:sz w:val="20"/>
          <w:szCs w:val="20"/>
        </w:rPr>
        <w:t xml:space="preserve">лиц.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Несовершеннолетняя с 21.09.2017 признана школой находящейся в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социально опасном положении, поскольку мать длительное время не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работала, злоупотребляла спиртным, оставляла ребенка без присмотра.С момента постановки несовершеннолетней на учет положение дел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 семье только ухудшалось, мать вела асоциальный образ жизни, уходя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 «запои», меняла сожителей, собирая компании по месту жительства.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Несмотря на явные признаки угрозы здоровью и жизни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несовершеннолетней не принято мер по ее отобранию у матери либо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лишению ее родительских прав. При этом участковые инспектора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милиции также не были осведомлены о «загульном» образе жизни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матери.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 связи с этим, при работе с этими семьями учреждениям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образования необходимо наладить должное взаимодействие с органами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внутренних дел, здравоохранения и др., получая от них достоверную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информацию о реальном положении дел в семьях, что позволит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принимать надлежащие и своевременные меры по защите прав детей.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B69B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6. Оказание помощи детям</w:t>
      </w:r>
      <w:r w:rsidRPr="002B69B6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Pr="002B69B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пострадавших от преступлений.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Данная глава будет носить больше общий, ознакомительный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характер с тем мерами по оказанию помощи, которые применяются в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настоящее время. Однако этой информацией необходимо обладать,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чтобы давать нужные разъяснения пострадавшим детям, их родителям.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Медицинский работник учреждения здравоохранения,оказывающий медицинскую помощь несовершеннолетнему пациенту,которому причинен вред здоровью в результате противоправных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действий, обязан предоставить информацию пациенту или его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законному представителю о возможностях получения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специализированной медицинской помощи (психологической,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психотерапевтической, психиатрической помощи) в учреждениях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здравоохранения, оказывающие указанные виды помощи по месту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жительства (пребывания) несовершеннолетнего в рамках действующего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законодательства.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Обеспечена доступность телефонов доверия путем организации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публикаций в средствах массовой информации (СКИФ, областное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телевидение - ролик о телефоне доверия) на ТВ и радио,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распространение информационных буклетов о «Телефоне Доверия»,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службах помощи несовершеннолетним, оказавшимся в кризисных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ситуациях, распространением информационных буклетов. В газетах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 xml:space="preserve">«Витьбичи», «Витебские вести», «Жыццё Прыдзвшня» и др. </w:t>
      </w:r>
      <w:r w:rsidR="00643694" w:rsidRPr="002B69B6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ри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размещении материалов по актуальным темам психического здоровья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детей указываются номера телефонов доверия и служб кризисной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помощи.Всего в Витебской области в учреждениях здравоохранения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организовано 4 службы экстренной психологической помощи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«Телефон доверия».Место нахождения и время работы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Административная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территория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Время работы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 xml:space="preserve"> Номер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телефона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Новополоцк 8-00 - 20-00 (214)371375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Полоцк 8-00 - 20-00 (214)432220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Орша 8-00 - 20-00 (216)210019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Профиль работы: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Сотрудники оказывают психологическую помощь населению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в заочной форме с использованием электросвязи. Направления</w:t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(профиль) работы делятся на следующие разделы: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- информирование населения об оказании медицинской и медико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="0064369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t>психологической помощи в сфере психического здоровья,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- психологическое консультирование,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- психологическая коррекция,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- работа с кризисными или суицидальными пациентами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(кризисная интервенция), профилактика насилия.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  <w:t>На «Телефоне доверия» работают сотрудники</w:t>
      </w:r>
      <w:r w:rsidRPr="002B69B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43694">
        <w:rPr>
          <w:rFonts w:ascii="Times New Roman" w:hAnsi="Times New Roman" w:cs="Times New Roman"/>
          <w:color w:val="000000"/>
          <w:sz w:val="20"/>
          <w:szCs w:val="20"/>
        </w:rPr>
        <w:t>психоневрологических диспансеров, имеющие психологическое</w:t>
      </w:r>
    </w:p>
    <w:p w:rsidR="00643694" w:rsidRPr="00643694" w:rsidRDefault="0064369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sectPr w:rsidR="00643694" w:rsidRPr="00643694" w:rsidSect="00731EC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141"/>
  <w:characterSpacingControl w:val="doNotCompress"/>
  <w:compat>
    <w:useFELayout/>
  </w:compat>
  <w:rsids>
    <w:rsidRoot w:val="00731ECD"/>
    <w:rsid w:val="00011449"/>
    <w:rsid w:val="002B69B6"/>
    <w:rsid w:val="00643694"/>
    <w:rsid w:val="00731ECD"/>
    <w:rsid w:val="00D7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4280</Words>
  <Characters>26113</Characters>
  <Application>Microsoft Office Word</Application>
  <DocSecurity>0</DocSecurity>
  <Lines>217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cp:lastPrinted>2019-02-07T08:44:00Z</cp:lastPrinted>
  <dcterms:created xsi:type="dcterms:W3CDTF">2019-02-07T07:25:00Z</dcterms:created>
  <dcterms:modified xsi:type="dcterms:W3CDTF">2019-02-07T08:48:00Z</dcterms:modified>
</cp:coreProperties>
</file>