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E" w:rsidRDefault="00183BBE" w:rsidP="00183BB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950"/>
        <w:gridCol w:w="1751"/>
        <w:gridCol w:w="3870"/>
      </w:tblGrid>
      <w:tr w:rsidR="00183BBE" w:rsidTr="00237AE1">
        <w:trPr>
          <w:trHeight w:val="345"/>
        </w:trPr>
        <w:tc>
          <w:tcPr>
            <w:tcW w:w="3950" w:type="dxa"/>
          </w:tcPr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Аддзел адукацы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Калінкавіцкага раённага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выканаўчага кам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тэта</w:t>
            </w:r>
          </w:p>
          <w:p w:rsidR="00183BBE" w:rsidRDefault="00183BBE" w:rsidP="00237AE1">
            <w:pPr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val="be-BY" w:eastAsia="ru-RU"/>
              </w:rPr>
              <w:t>ДЗЯРЖАЎНАЯ                                                                                      ЎСТАНОВА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val="be-BY" w:eastAsia="ru-RU"/>
              </w:rPr>
              <w:t xml:space="preserve">«КАЛІНКАВІЦКІ  РАЕННЫ 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val="be-BY" w:eastAsia="ru-RU"/>
              </w:rPr>
              <w:t>ВУЧЭБНА-МЕТАДЫЧНЫ КАБІНЕТ»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i/>
                <w:sz w:val="20"/>
                <w:szCs w:val="24"/>
                <w:lang w:val="be-BY" w:eastAsia="ru-RU"/>
              </w:rPr>
              <w:t>пл. Леніна, 2,  247710  г. Кал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4"/>
                <w:lang w:val="be-BY" w:eastAsia="ru-RU"/>
              </w:rPr>
              <w:t>нкав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4"/>
                <w:lang w:val="be-BY" w:eastAsia="ru-RU"/>
              </w:rPr>
              <w:t xml:space="preserve">чы                                            </w:t>
            </w:r>
          </w:p>
        </w:tc>
        <w:tc>
          <w:tcPr>
            <w:tcW w:w="1751" w:type="dxa"/>
          </w:tcPr>
          <w:p w:rsidR="00183BBE" w:rsidRDefault="00183BBE" w:rsidP="00237AE1">
            <w:pPr>
              <w:spacing w:after="0" w:line="256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val="be-BY" w:eastAsia="ru-RU"/>
              </w:rPr>
            </w:pPr>
          </w:p>
          <w:p w:rsidR="00183BBE" w:rsidRDefault="00183BBE" w:rsidP="00237AE1">
            <w:pPr>
              <w:spacing w:after="0" w:line="256" w:lineRule="auto"/>
              <w:jc w:val="center"/>
              <w:rPr>
                <w:rFonts w:eastAsia="Times New Roman" w:cs="Times New Roman"/>
                <w:sz w:val="24"/>
                <w:szCs w:val="28"/>
                <w:lang w:val="be-BY" w:eastAsia="ru-RU"/>
              </w:rPr>
            </w:pPr>
          </w:p>
          <w:p w:rsidR="00183BBE" w:rsidRDefault="00183BBE" w:rsidP="00237AE1">
            <w:pPr>
              <w:spacing w:after="0" w:line="256" w:lineRule="auto"/>
              <w:ind w:firstLine="4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be-BY" w:eastAsia="ru-RU"/>
              </w:rPr>
            </w:pPr>
          </w:p>
        </w:tc>
        <w:tc>
          <w:tcPr>
            <w:tcW w:w="3870" w:type="dxa"/>
          </w:tcPr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Калинковичского районного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  <w:p w:rsidR="00183BBE" w:rsidRDefault="00183BBE" w:rsidP="00237AE1">
            <w:pPr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ГОСУДАРСТВЕННОЕ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УЧРЕЖДЕНИЕ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 w:val="22"/>
                <w:szCs w:val="24"/>
                <w:lang w:val="be-BY" w:eastAsia="ru-RU"/>
              </w:rPr>
              <w:t xml:space="preserve">КАЛИНКОВИЧСКИЙ РАЙОННЫЙ </w:t>
            </w:r>
          </w:p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val="be-BY" w:eastAsia="ru-RU"/>
              </w:rPr>
              <w:t>УЧЕБНО-МЕТОДИЧЕСКИЙ КАБИНЕТ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»</w:t>
            </w:r>
          </w:p>
          <w:p w:rsidR="00183BBE" w:rsidRDefault="00183BBE" w:rsidP="00237AE1">
            <w:pPr>
              <w:spacing w:after="0" w:line="240" w:lineRule="exact"/>
              <w:rPr>
                <w:rFonts w:eastAsia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i/>
                <w:sz w:val="20"/>
                <w:szCs w:val="24"/>
                <w:lang w:val="be-BY" w:eastAsia="ru-RU"/>
              </w:rPr>
              <w:t>пл. Ленина</w:t>
            </w:r>
            <w:r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, 2,  247710  г. Калинковичи</w:t>
            </w:r>
          </w:p>
        </w:tc>
      </w:tr>
      <w:tr w:rsidR="00183BBE" w:rsidTr="00237AE1">
        <w:trPr>
          <w:trHeight w:val="345"/>
        </w:trPr>
        <w:tc>
          <w:tcPr>
            <w:tcW w:w="3950" w:type="dxa"/>
            <w:hideMark/>
          </w:tcPr>
          <w:p w:rsidR="00183BBE" w:rsidRDefault="001C1187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___17</w:t>
            </w:r>
            <w:r w:rsidR="00183BBE">
              <w:rPr>
                <w:rFonts w:eastAsia="Times New Roman" w:cs="Times New Roman"/>
                <w:sz w:val="24"/>
                <w:szCs w:val="24"/>
                <w:lang w:val="be-BY" w:eastAsia="ru-RU"/>
              </w:rPr>
              <w:t>.01.2025___ № __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12</w:t>
            </w:r>
            <w:r w:rsidR="00183BBE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</w:p>
        </w:tc>
        <w:tc>
          <w:tcPr>
            <w:tcW w:w="1751" w:type="dxa"/>
          </w:tcPr>
          <w:p w:rsidR="00183BBE" w:rsidRDefault="00183BBE" w:rsidP="00237AE1">
            <w:pPr>
              <w:spacing w:after="0" w:line="256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val="be-BY" w:eastAsia="ru-RU"/>
              </w:rPr>
            </w:pPr>
          </w:p>
        </w:tc>
        <w:tc>
          <w:tcPr>
            <w:tcW w:w="3870" w:type="dxa"/>
          </w:tcPr>
          <w:p w:rsidR="00183BBE" w:rsidRDefault="00183BBE" w:rsidP="00237AE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BBE" w:rsidRDefault="00183BBE" w:rsidP="00183BB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701"/>
        <w:gridCol w:w="3934"/>
      </w:tblGrid>
      <w:tr w:rsidR="00183BBE" w:rsidTr="00237AE1">
        <w:tc>
          <w:tcPr>
            <w:tcW w:w="3936" w:type="dxa"/>
          </w:tcPr>
          <w:p w:rsidR="00183BBE" w:rsidRDefault="00183BBE" w:rsidP="00237AE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183BBE" w:rsidRDefault="00183BBE" w:rsidP="00237AE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34" w:type="dxa"/>
            <w:hideMark/>
          </w:tcPr>
          <w:p w:rsidR="00183BBE" w:rsidRDefault="00183BBE" w:rsidP="00237AE1">
            <w:pPr>
              <w:spacing w:after="0"/>
              <w:ind w:left="34" w:hanging="1"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Калинковичский районный исполнительный комитет </w:t>
            </w:r>
          </w:p>
        </w:tc>
      </w:tr>
    </w:tbl>
    <w:p w:rsidR="00183BBE" w:rsidRDefault="00183BBE" w:rsidP="00183BB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83BBE" w:rsidRDefault="00183BBE" w:rsidP="00183BB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83BBE" w:rsidRDefault="00183BBE" w:rsidP="00183BBE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proofErr w:type="gramStart"/>
      <w:r w:rsidRPr="00183BBE">
        <w:rPr>
          <w:rFonts w:eastAsia="Times New Roman" w:cs="Times New Roman"/>
          <w:sz w:val="30"/>
          <w:szCs w:val="30"/>
          <w:lang w:eastAsia="ru-RU"/>
        </w:rPr>
        <w:t xml:space="preserve">Государственное учреждение «Калинковичский районный учебно-методический кабинет» просит предоставить информацию в рамках выполнения пункта 7 Плана мероприятий по реализации </w:t>
      </w:r>
      <w:proofErr w:type="spellStart"/>
      <w:r w:rsidRPr="00183BBE">
        <w:rPr>
          <w:rFonts w:eastAsia="Times New Roman" w:cs="Times New Roman"/>
          <w:sz w:val="30"/>
          <w:szCs w:val="30"/>
          <w:lang w:eastAsia="ru-RU"/>
        </w:rPr>
        <w:t>Марракешского</w:t>
      </w:r>
      <w:proofErr w:type="spellEnd"/>
      <w:r w:rsidRPr="00183BBE">
        <w:rPr>
          <w:rFonts w:eastAsia="Times New Roman" w:cs="Times New Roman"/>
          <w:sz w:val="30"/>
          <w:szCs w:val="30"/>
          <w:lang w:eastAsia="ru-RU"/>
        </w:rPr>
        <w:t xml:space="preserve">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на 2023 – 2024 годы, утвержденного Председателем ГКНТ Шлычковым С.В. 8 февраля 2023 г.</w:t>
      </w:r>
      <w:r>
        <w:rPr>
          <w:rFonts w:eastAsia="Times New Roman" w:cs="Times New Roman"/>
          <w:sz w:val="30"/>
          <w:szCs w:val="30"/>
          <w:lang w:eastAsia="ru-RU"/>
        </w:rPr>
        <w:t xml:space="preserve"> (далее – План), просит </w:t>
      </w:r>
      <w:r w:rsidRPr="00183BBE">
        <w:rPr>
          <w:rFonts w:eastAsia="Times New Roman" w:cs="Times New Roman"/>
          <w:b/>
          <w:sz w:val="30"/>
          <w:szCs w:val="30"/>
          <w:lang w:eastAsia="ru-RU"/>
        </w:rPr>
        <w:t>сегодня до 16.00</w:t>
      </w:r>
      <w:r w:rsidRPr="00183BBE">
        <w:rPr>
          <w:rFonts w:eastAsia="Times New Roman" w:cs="Times New Roman"/>
          <w:sz w:val="30"/>
          <w:szCs w:val="30"/>
          <w:lang w:eastAsia="ru-RU"/>
        </w:rPr>
        <w:t xml:space="preserve"> предоставить</w:t>
      </w:r>
      <w:proofErr w:type="gramEnd"/>
      <w:r w:rsidRPr="00183BBE">
        <w:rPr>
          <w:rFonts w:eastAsia="Times New Roman" w:cs="Times New Roman"/>
          <w:sz w:val="30"/>
          <w:szCs w:val="30"/>
          <w:lang w:eastAsia="ru-RU"/>
        </w:rPr>
        <w:t xml:space="preserve"> информацию об исполнении мероприятий, предусмотренных Планом, </w:t>
      </w:r>
      <w:r w:rsidRPr="00183BBE">
        <w:rPr>
          <w:rFonts w:eastAsia="Times New Roman" w:cs="Times New Roman"/>
          <w:b/>
          <w:sz w:val="30"/>
          <w:szCs w:val="30"/>
          <w:lang w:eastAsia="ru-RU"/>
        </w:rPr>
        <w:t>по итогам 2024 года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перейдя по ссылке: </w:t>
      </w:r>
      <w:hyperlink r:id="rId4" w:history="1">
        <w:r w:rsidRPr="00A963B9">
          <w:rPr>
            <w:rStyle w:val="a3"/>
          </w:rPr>
          <w:t>https://docs.google.com/spreadsheets/d/1bxDkaJ0vOyZzCSAFwLmoMpTvcyHC2OTo8hy_sr2bqcs/edit?usp=sharing</w:t>
        </w:r>
      </w:hyperlink>
      <w:r>
        <w:t xml:space="preserve"> </w:t>
      </w:r>
    </w:p>
    <w:p w:rsidR="00183BBE" w:rsidRDefault="00183BBE" w:rsidP="00183BBE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183BBE" w:rsidRDefault="00183BBE" w:rsidP="00183BBE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183BBE" w:rsidTr="00237AE1">
        <w:tc>
          <w:tcPr>
            <w:tcW w:w="5778" w:type="dxa"/>
            <w:hideMark/>
          </w:tcPr>
          <w:p w:rsidR="00183BBE" w:rsidRDefault="00183BBE" w:rsidP="00237AE1">
            <w:pPr>
              <w:spacing w:after="0" w:line="280" w:lineRule="exact"/>
              <w:rPr>
                <w:rFonts w:eastAsia="Times New Roman" w:cs="Times New Roman"/>
                <w:i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Заведующий</w:t>
            </w:r>
          </w:p>
          <w:p w:rsidR="00183BBE" w:rsidRDefault="00183BBE" w:rsidP="00237AE1">
            <w:pPr>
              <w:spacing w:after="0" w:line="280" w:lineRule="exac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ГУО «Калинковичский районный </w:t>
            </w:r>
          </w:p>
          <w:p w:rsidR="00183BBE" w:rsidRDefault="00183BBE" w:rsidP="00237AE1">
            <w:pPr>
              <w:spacing w:after="0" w:line="280" w:lineRule="exac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учебно-методический кабинет»</w:t>
            </w:r>
          </w:p>
        </w:tc>
        <w:tc>
          <w:tcPr>
            <w:tcW w:w="3793" w:type="dxa"/>
            <w:hideMark/>
          </w:tcPr>
          <w:p w:rsidR="00183BBE" w:rsidRDefault="00183BBE" w:rsidP="00237AE1">
            <w:pPr>
              <w:spacing w:after="0" w:line="280" w:lineRule="exac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Л.П. Савицкая</w:t>
            </w:r>
          </w:p>
        </w:tc>
      </w:tr>
    </w:tbl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tabs>
          <w:tab w:val="left" w:pos="450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</w:p>
    <w:p w:rsidR="00183BBE" w:rsidRDefault="00183BBE" w:rsidP="00183BBE">
      <w:pPr>
        <w:spacing w:after="0" w:line="240" w:lineRule="exact"/>
        <w:jc w:val="both"/>
        <w:rPr>
          <w:rFonts w:eastAsia="Times New Roman" w:cs="Times New Roman"/>
          <w:sz w:val="20"/>
          <w:szCs w:val="30"/>
          <w:lang w:eastAsia="ru-RU"/>
        </w:rPr>
      </w:pPr>
      <w:r>
        <w:rPr>
          <w:rFonts w:eastAsia="Times New Roman" w:cs="Times New Roman"/>
          <w:sz w:val="20"/>
          <w:szCs w:val="30"/>
          <w:lang w:eastAsia="ru-RU"/>
        </w:rPr>
        <w:t>Ясковец 31426</w:t>
      </w:r>
    </w:p>
    <w:p w:rsidR="002C2998" w:rsidRPr="00183BBE" w:rsidRDefault="00183BBE" w:rsidP="00183BBE">
      <w:pPr>
        <w:spacing w:after="0" w:line="240" w:lineRule="exact"/>
        <w:jc w:val="both"/>
        <w:rPr>
          <w:rFonts w:eastAsia="Times New Roman" w:cs="Times New Roman"/>
          <w:sz w:val="20"/>
          <w:szCs w:val="30"/>
          <w:lang w:eastAsia="ru-RU"/>
        </w:rPr>
      </w:pPr>
      <w:r>
        <w:rPr>
          <w:rFonts w:eastAsia="Times New Roman" w:cs="Times New Roman"/>
          <w:sz w:val="20"/>
          <w:szCs w:val="30"/>
          <w:lang w:eastAsia="ru-RU"/>
        </w:rPr>
        <w:t>Ясковец 8(02345)31426</w:t>
      </w:r>
      <w:r w:rsidR="00F501CD">
        <w:t xml:space="preserve"> </w:t>
      </w:r>
    </w:p>
    <w:sectPr w:rsidR="002C2998" w:rsidRPr="00183BBE" w:rsidSect="002C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F501CD"/>
    <w:rsid w:val="00183BBE"/>
    <w:rsid w:val="001C1187"/>
    <w:rsid w:val="002C2998"/>
    <w:rsid w:val="00F501CD"/>
    <w:rsid w:val="00F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BE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1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bxDkaJ0vOyZzCSAFwLmoMpTvcyHC2OTo8hy_sr2bqcs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РУМК</dc:creator>
  <cp:lastModifiedBy>Методист РУМК</cp:lastModifiedBy>
  <cp:revision>2</cp:revision>
  <dcterms:created xsi:type="dcterms:W3CDTF">2025-01-17T06:51:00Z</dcterms:created>
  <dcterms:modified xsi:type="dcterms:W3CDTF">2025-01-17T07:16:00Z</dcterms:modified>
</cp:coreProperties>
</file>