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4818"/>
        <w:gridCol w:w="4820"/>
      </w:tblGrid>
      <w:tr w:rsidR="00AA132C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НIСТЭРСТВА АДУКАЦЫI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РЭСПУБЛ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КI БЕЛАРУСЬ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БЕЛАРУСЬ</w:t>
            </w:r>
          </w:p>
        </w:tc>
      </w:tr>
      <w:tr w:rsidR="00AA132C" w:rsidRPr="00D83D1D">
        <w:trPr>
          <w:trHeight w:val="1058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нск</w:t>
            </w:r>
            <w:proofErr w:type="spellEnd"/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132C" w:rsidRDefault="00AA132C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AA132C" w:rsidRPr="008A7C35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Pr="00F821D6" w:rsidRDefault="00AA132C" w:rsidP="00C908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132C" w:rsidRPr="00982E25" w:rsidRDefault="00AA132C" w:rsidP="00C908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2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24.01.2020        №01-18/484</w:t>
            </w:r>
          </w:p>
          <w:p w:rsidR="00AA132C" w:rsidRDefault="00AA132C" w:rsidP="00C908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32C" w:rsidRPr="00982E25" w:rsidRDefault="00AA132C" w:rsidP="00C908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На  07-03-13/695/</w:t>
            </w:r>
            <w:proofErr w:type="spellStart"/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/  от 24.01.2020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Pr="008A7C35" w:rsidRDefault="00AA132C" w:rsidP="00C9089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Главные управления по образованию (образования) областных исполнительных комитетов</w:t>
      </w: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Комитет по образованию </w:t>
      </w:r>
      <w:proofErr w:type="spellStart"/>
      <w:r>
        <w:rPr>
          <w:sz w:val="30"/>
          <w:szCs w:val="30"/>
        </w:rPr>
        <w:t>Мингорисполкома</w:t>
      </w:r>
      <w:proofErr w:type="spellEnd"/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Бюджетные организации, подчиненные Министерству образования Республики Беларусь </w:t>
      </w:r>
    </w:p>
    <w:p w:rsidR="00AA132C" w:rsidRDefault="00AA132C" w:rsidP="0038733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единовременной выплате </w:t>
      </w:r>
    </w:p>
    <w:p w:rsidR="00AA132C" w:rsidRDefault="00AA132C" w:rsidP="0038733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оздоровление</w:t>
      </w:r>
    </w:p>
    <w:p w:rsidR="00AA132C" w:rsidRDefault="00AA132C" w:rsidP="00970A10">
      <w:pPr>
        <w:rPr>
          <w:sz w:val="30"/>
          <w:szCs w:val="30"/>
        </w:rPr>
      </w:pPr>
    </w:p>
    <w:p w:rsidR="00AA132C" w:rsidRPr="00387338" w:rsidRDefault="00AA132C" w:rsidP="0038733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Министерство образования на основании письма Министерства труда и социальной защиты от 14.01.2020 № 1-1-16/173 по вопросам осуществления единовременной выплаты на оздоровление сообщает.</w:t>
      </w:r>
    </w:p>
    <w:p w:rsidR="00AA132C" w:rsidRPr="00387338" w:rsidRDefault="00AA132C" w:rsidP="00E70321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 xml:space="preserve">Согласно статье 182 Трудового кодекса Республики Беларусь (далее – Трудовой кодекс) в случаях, предусмотренных законодательством, коллективным договором, соглашением, трудовым договором, </w:t>
      </w:r>
      <w:r w:rsidRPr="00387338">
        <w:rPr>
          <w:sz w:val="30"/>
          <w:szCs w:val="30"/>
          <w:u w:val="single"/>
        </w:rPr>
        <w:t>наниматель обязан при предоставлении трудового отпуска</w:t>
      </w:r>
      <w:r w:rsidRPr="00387338">
        <w:rPr>
          <w:sz w:val="30"/>
          <w:szCs w:val="30"/>
        </w:rPr>
        <w:t xml:space="preserve"> (а при разделении его на части – при предоставлении одной из частей отпуска) </w:t>
      </w:r>
      <w:r w:rsidRPr="00387338">
        <w:rPr>
          <w:sz w:val="30"/>
          <w:szCs w:val="30"/>
          <w:u w:val="single"/>
        </w:rPr>
        <w:t xml:space="preserve">производить </w:t>
      </w:r>
      <w:r w:rsidRPr="00387338">
        <w:rPr>
          <w:sz w:val="30"/>
          <w:szCs w:val="30"/>
        </w:rPr>
        <w:t xml:space="preserve">работнику </w:t>
      </w:r>
      <w:r w:rsidRPr="00387338">
        <w:rPr>
          <w:sz w:val="30"/>
          <w:szCs w:val="30"/>
          <w:u w:val="single"/>
        </w:rPr>
        <w:t>единовременную выплату на оздоровление</w:t>
      </w:r>
      <w:r w:rsidRPr="00387338">
        <w:rPr>
          <w:sz w:val="30"/>
          <w:szCs w:val="30"/>
        </w:rPr>
        <w:t xml:space="preserve"> в размере, определяемом законодательством, коллективным договором, соглашением, трудовым договором.</w:t>
      </w:r>
      <w:proofErr w:type="gramEnd"/>
      <w:r w:rsidRPr="00387338">
        <w:rPr>
          <w:sz w:val="30"/>
          <w:szCs w:val="30"/>
        </w:rPr>
        <w:t xml:space="preserve"> Таким образом, статья 182 Трудового кодекса определяет, что выплата носит целевой характер (на оздоровление)</w:t>
      </w:r>
      <w:r>
        <w:rPr>
          <w:sz w:val="30"/>
          <w:szCs w:val="30"/>
        </w:rPr>
        <w:t>,</w:t>
      </w:r>
      <w:r w:rsidRPr="00387338">
        <w:rPr>
          <w:sz w:val="30"/>
          <w:szCs w:val="30"/>
        </w:rPr>
        <w:t xml:space="preserve"> осуществляется единовременно (к отпуску)</w:t>
      </w:r>
      <w:r>
        <w:rPr>
          <w:sz w:val="30"/>
          <w:szCs w:val="30"/>
        </w:rPr>
        <w:t xml:space="preserve">, </w:t>
      </w:r>
      <w:r w:rsidRPr="00E70321">
        <w:rPr>
          <w:sz w:val="30"/>
          <w:szCs w:val="30"/>
        </w:rPr>
        <w:t>условия выплаты определяются законодательством, коллективным договором, соглашением или трудовым договором.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 xml:space="preserve">В соответствии с абзацем вторым пункта 4 Указа Президента Республики Беларусь от 18.01.2019 № 27 (далее – Указа № 27) работникам бюджетных организаций ежегодно осуществляется единовременная выплата на оздоровление, как правило, при уходе в трудовой отпуск (отпуск) из расчета 0,5 оклада, если иной размер не установлен законодательными актами или Советом Министров Республики Беларусь. 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lastRenderedPageBreak/>
        <w:t xml:space="preserve">Таким образом, законодательством установлена </w:t>
      </w:r>
      <w:r w:rsidRPr="00387338">
        <w:rPr>
          <w:b/>
          <w:bCs/>
          <w:sz w:val="30"/>
          <w:szCs w:val="30"/>
        </w:rPr>
        <w:t xml:space="preserve">обязанность </w:t>
      </w:r>
      <w:r w:rsidRPr="00387338">
        <w:rPr>
          <w:sz w:val="30"/>
          <w:szCs w:val="30"/>
        </w:rPr>
        <w:t xml:space="preserve">руководителя бюджетной организации </w:t>
      </w:r>
      <w:proofErr w:type="gramStart"/>
      <w:r w:rsidRPr="00387338">
        <w:rPr>
          <w:sz w:val="30"/>
          <w:szCs w:val="30"/>
        </w:rPr>
        <w:t>произвести</w:t>
      </w:r>
      <w:proofErr w:type="gramEnd"/>
      <w:r w:rsidRPr="00387338">
        <w:rPr>
          <w:sz w:val="30"/>
          <w:szCs w:val="30"/>
        </w:rPr>
        <w:t xml:space="preserve"> единовременную выплату на оздоровление </w:t>
      </w:r>
      <w:r w:rsidRPr="00387338">
        <w:rPr>
          <w:b/>
          <w:bCs/>
          <w:sz w:val="30"/>
          <w:szCs w:val="30"/>
        </w:rPr>
        <w:t>один раз в календарном году</w:t>
      </w:r>
      <w:r w:rsidRPr="00387338">
        <w:rPr>
          <w:sz w:val="30"/>
          <w:szCs w:val="30"/>
        </w:rPr>
        <w:t xml:space="preserve"> </w:t>
      </w:r>
      <w:r w:rsidRPr="00387338">
        <w:rPr>
          <w:b/>
          <w:bCs/>
          <w:sz w:val="30"/>
          <w:szCs w:val="30"/>
        </w:rPr>
        <w:t>всем работникам</w:t>
      </w:r>
      <w:r w:rsidRPr="00387338">
        <w:rPr>
          <w:sz w:val="30"/>
          <w:szCs w:val="30"/>
        </w:rPr>
        <w:t>, в том числе: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>работающим</w:t>
      </w:r>
      <w:proofErr w:type="gramEnd"/>
      <w:r w:rsidRPr="00387338">
        <w:rPr>
          <w:sz w:val="30"/>
          <w:szCs w:val="30"/>
        </w:rPr>
        <w:t xml:space="preserve"> на условиях внутреннего или внешнего совместительства; 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принятым на работу в течение календарного года и отработавшим менее шести месяцев (до возникновения права на трудовой отпуск);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 xml:space="preserve">принятым в течение календарного года на должности, по которым в текущем календарном году уже произведена единовременная выплата на оздоровление в размере 0,5 оклада.  </w:t>
      </w:r>
      <w:proofErr w:type="gramEnd"/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 xml:space="preserve">Поскольку единовременная выплата на оздоровление производится </w:t>
      </w:r>
      <w:r w:rsidRPr="00387338">
        <w:rPr>
          <w:b/>
          <w:bCs/>
          <w:sz w:val="30"/>
          <w:szCs w:val="30"/>
        </w:rPr>
        <w:t xml:space="preserve">из расчета </w:t>
      </w:r>
      <w:r w:rsidRPr="00387338">
        <w:rPr>
          <w:sz w:val="30"/>
          <w:szCs w:val="30"/>
        </w:rPr>
        <w:t>0,5 оклада работника, то пунктом 4 Указа № 27 определено, что размеры, порядок и условия ее осуществления определяются согласно положениям, утверждаемым руководителями бюджетных организаций.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>В указанном положении следует предусмотреть размеры, порядок и условия осуществления единовременной выплаты на оздоровление в различных ситуациях, в том числе совместителям, работникам, принятым на работу по срочным трудовым договорам на период нахождения работников в отпусках по уходу за ребенком до 3 лет, и др. Например, можно предусмотреть, что работникам, принятым на работу в течение календарного года, единовременное пособие на оздоровление</w:t>
      </w:r>
      <w:proofErr w:type="gramEnd"/>
      <w:r w:rsidRPr="00387338">
        <w:rPr>
          <w:sz w:val="30"/>
          <w:szCs w:val="30"/>
        </w:rPr>
        <w:t xml:space="preserve"> выплачивается пропорционально отработанному времени.</w:t>
      </w:r>
    </w:p>
    <w:p w:rsidR="00AA132C" w:rsidRPr="00387338" w:rsidRDefault="00AA132C" w:rsidP="0038733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Педагогическим работникам, которым постановлением Министерства образования Республики Беларусь от 05.09.2011 № 255 установлена норма часов за ставку, единовременную выплату на оздоровление следует осуществлять из расчета 0,5 оклада</w:t>
      </w:r>
      <w:r>
        <w:rPr>
          <w:sz w:val="30"/>
          <w:szCs w:val="30"/>
        </w:rPr>
        <w:t xml:space="preserve">, определенного </w:t>
      </w:r>
      <w:bookmarkStart w:id="0" w:name="_GoBack"/>
      <w:bookmarkEnd w:id="0"/>
      <w:r w:rsidRPr="00EC6B53">
        <w:rPr>
          <w:sz w:val="30"/>
          <w:szCs w:val="30"/>
        </w:rPr>
        <w:t>за норму часов педагогической нагрузки за ставку</w:t>
      </w:r>
      <w:r w:rsidRPr="00387338">
        <w:rPr>
          <w:sz w:val="30"/>
          <w:szCs w:val="30"/>
        </w:rPr>
        <w:t>.</w:t>
      </w:r>
    </w:p>
    <w:p w:rsidR="00AA132C" w:rsidRDefault="00AA132C" w:rsidP="00E70321">
      <w:pPr>
        <w:spacing w:line="360" w:lineRule="auto"/>
        <w:jc w:val="both"/>
        <w:rPr>
          <w:sz w:val="30"/>
          <w:szCs w:val="30"/>
        </w:rPr>
      </w:pPr>
    </w:p>
    <w:p w:rsidR="00AA132C" w:rsidRDefault="00AA132C" w:rsidP="00970A10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С.В.Рудый</w:t>
      </w:r>
    </w:p>
    <w:p w:rsidR="00AA132C" w:rsidRDefault="00AA132C" w:rsidP="00970A10">
      <w:pPr>
        <w:jc w:val="both"/>
        <w:rPr>
          <w:sz w:val="30"/>
          <w:szCs w:val="30"/>
        </w:rPr>
      </w:pPr>
    </w:p>
    <w:p w:rsidR="00AA132C" w:rsidRDefault="00AA132C" w:rsidP="00970A10">
      <w:pPr>
        <w:jc w:val="both"/>
        <w:rPr>
          <w:sz w:val="30"/>
          <w:szCs w:val="30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Pr="00970A10" w:rsidRDefault="00AA132C" w:rsidP="0007345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07-03 Новик </w:t>
      </w:r>
      <w:r w:rsidRPr="00970A10">
        <w:rPr>
          <w:sz w:val="18"/>
          <w:szCs w:val="18"/>
        </w:rPr>
        <w:t>2</w:t>
      </w:r>
      <w:r>
        <w:rPr>
          <w:sz w:val="18"/>
          <w:szCs w:val="18"/>
        </w:rPr>
        <w:t>22 46 42</w:t>
      </w:r>
    </w:p>
    <w:sectPr w:rsidR="00AA132C" w:rsidRPr="00970A10" w:rsidSect="00E7032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70A10"/>
    <w:rsid w:val="000661B4"/>
    <w:rsid w:val="00073454"/>
    <w:rsid w:val="000E30BF"/>
    <w:rsid w:val="000E7A33"/>
    <w:rsid w:val="0018062D"/>
    <w:rsid w:val="001936A3"/>
    <w:rsid w:val="00244EDC"/>
    <w:rsid w:val="002C40C2"/>
    <w:rsid w:val="00387338"/>
    <w:rsid w:val="003A07F3"/>
    <w:rsid w:val="00496EF3"/>
    <w:rsid w:val="004D6BE0"/>
    <w:rsid w:val="00587FB6"/>
    <w:rsid w:val="005B7796"/>
    <w:rsid w:val="00603801"/>
    <w:rsid w:val="006136ED"/>
    <w:rsid w:val="0066355A"/>
    <w:rsid w:val="00780BAE"/>
    <w:rsid w:val="007D7941"/>
    <w:rsid w:val="008A7C35"/>
    <w:rsid w:val="00941B4A"/>
    <w:rsid w:val="00970A10"/>
    <w:rsid w:val="00982E25"/>
    <w:rsid w:val="00AA132C"/>
    <w:rsid w:val="00B536CF"/>
    <w:rsid w:val="00B800BF"/>
    <w:rsid w:val="00B83757"/>
    <w:rsid w:val="00BB6334"/>
    <w:rsid w:val="00BF49F2"/>
    <w:rsid w:val="00C90895"/>
    <w:rsid w:val="00D737C6"/>
    <w:rsid w:val="00D83D1D"/>
    <w:rsid w:val="00E1006C"/>
    <w:rsid w:val="00E70321"/>
    <w:rsid w:val="00EC6B53"/>
    <w:rsid w:val="00F10709"/>
    <w:rsid w:val="00F749E4"/>
    <w:rsid w:val="00F8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A10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>Office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</dc:title>
  <dc:creator>Natalya Krivolapova</dc:creator>
  <cp:lastModifiedBy>Пользователь</cp:lastModifiedBy>
  <cp:revision>2</cp:revision>
  <dcterms:created xsi:type="dcterms:W3CDTF">2020-02-15T05:51:00Z</dcterms:created>
  <dcterms:modified xsi:type="dcterms:W3CDTF">2020-02-15T05:51:00Z</dcterms:modified>
</cp:coreProperties>
</file>