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ОПИСАНИЕ ОПЫТА ПЕДАГОГИЧЕСКОЙ ДЕЯТЕЛЬНОСТИ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«ИСПОЛЬЗОВАНИЕ АКТИВНЫХ ПРИЁМОВ ОБУЧЕНИЯ И ВОСПИТАНИЯ НА УРОКАХ РУССКОГО ЯЗЫКА КАК СРЕДСТВО ФОРМИРОВАНИЯ АКТИВНОЙ ГРАЖДАНСКОЙ ПОЗИЦИИ ОБУЧАЮЩИХСЯ»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8"/>
        <w:jc w:val="both"/>
        <w:rPr>
          <w:rFonts w:ascii="Calibri" w:cs="Calibri" w:hAnsi="Calibri" w:eastAsia="Calibri"/>
          <w:sz w:val="22"/>
          <w:szCs w:val="22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Примеры применения активных приёмов в обучении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Применение нестандартных подходов создаёт условие для формирования заинтересованности учащихся русским языком и позволяет выйти за пределы привычного восприятия правил и облегчает их запоминание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[3,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23].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Обратим внимание на орфографический тренажёр на тему «Проверяемая безударная гласная в корне слова»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.: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Объед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вопл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щение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обог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щение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лжение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вление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скошный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разъ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ренный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пренебр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жительный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уж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сающий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снительный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разоч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ровать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распор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диться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возр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изм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нить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скр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пить листы — скр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петь перьями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раск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лить железо — раск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лоть полено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 об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жать слабых — об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жать всю территорию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овл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деть знаниями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любимый препод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ватель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тический компромисс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всеобщее пок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столюбивый человек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вление правительства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озн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меновать событие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белорусское гр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жданство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Тренажёр действует по следующему принципу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 каждому слову учащиеся устно подбирают проверочное слово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если имеются ошибки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 эти ошибкоопасные места маркируем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выделяем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ещё раз акцентируем внимание на данном слове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Затем составляем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предложений на тему «Родина»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«Родные пейзажи»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«Мой город»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используя предложенные слова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Тут же делается акцент на 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наш город Калинковичи в годы ВОВ потерпел много разрушений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гибли люди и патриоты – подпольщики в период аккупации гитлеровскими захватчиками сражались за его освобождение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5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 целью повышения занимательности уроков орфографии я выхожу за пределы привычных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стереотипных упражнений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для закрепления изученного правила «Правописание 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ы после ц» использую орфографическое упражнение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котором орфограммы в словах помещены в тексте занимательного характера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обратив внимание на 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что в областном центре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Гомель действует цирк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Итория Гомельского цирка начинается с конца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XIX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века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Это было деревянное неотапливаемое здание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где между перегородками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сделанными из фанеры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находились между выступлениями артисты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Зрители с удовольствием приходили на представления заезжих цирковых трупп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Современное здание из стекла и бетона было сдано в эксплуатацию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декабря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1972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Зрительный зал в настоящее время рассчитан на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1544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места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 </w:t>
      </w:r>
    </w:p>
    <w:p>
      <w:pPr>
        <w:pStyle w:val="По умолчанию"/>
        <w:keepNext w:val="1"/>
        <w:keepLines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715" w:right="3" w:hanging="10"/>
        <w:jc w:val="both"/>
        <w:outlineLvl w:val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рковое чудо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5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Аттракц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онов  в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рковом представлении было много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Все птиц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..: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скворц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..,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синиц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..,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даже неуклюжие куриц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– были молодц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необыкновенные умниц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.. 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Они становились на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почки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весело клевали огурц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перелетали со спиц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 спицу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Самая большая курица водрузилась на панц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рь огромной по размерам черепахи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Заметив восторженнуюреакц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ю зрителей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курица стала клевать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трусовые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5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Скворц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.., 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эти неутомимые бойц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..,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 толкали друг друга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как будто на арене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рка происходила настоящая революц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Вдруг совершенно неожиданно появился удивительно красивый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ган с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плёнком в руках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За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ганом на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почках шла его очаровательная помощница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Жёлтый маленький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плёнок вызвал бурные аплодисменты у публики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когда совершенно верно пропищал в микрофон столько раз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сколько обозначали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фры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показанные ему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конце выступления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ган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 всеобщему удивлению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достал из маленького 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линдра цветы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нарц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ссы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настурц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ц…кламены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флоксы и глиц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нии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под бурные овац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любезно подарил их зрителям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Данный вид деятельности способствует отработке изученного материала и развитию орфографической зоркости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Цель данного упражнения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применение полученных знаний в практической письменной деятельности ученика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Конечный результат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выработка орфографического навыка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Ежедневно в каждом классе практикую проведение тематических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«Орфографических разминок»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применяю приёмы «Облако слов»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«Лови ошибку»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«Справочное бюро»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«Волшебный квадрат»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«Корректор»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«Цифровой диктант»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«Четвёртое лишнее»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«Ассоциативный ряд»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 xml:space="preserve">«Да 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нет»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«Письмо по памяти»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«Словарный диктант»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«Графический диктант» и другие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9"/>
        <w:jc w:val="righ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709"/>
        <w:jc w:val="righ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2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Динамика результатов сформированности орфографических навыков учащихся по итогам контрольного диктанта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за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I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полугодие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2021/2022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2022/2023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учебных годов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0"/>
        <w:jc w:val="left"/>
        <w:rPr>
          <w:rtl w:val="0"/>
        </w:rPr>
      </w:pPr>
      <w:r>
        <w:drawing xmlns:a="http://schemas.openxmlformats.org/drawingml/2006/main">
          <wp:inline distT="0" distB="0" distL="0" distR="0">
            <wp:extent cx="5778286" cy="286547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"/>
              </a:graphicData>
            </a:graphic>
          </wp:inline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chart" Target="charts/chart1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1.xlsx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autoTitleDeleted val="1"/>
    <c:plotArea>
      <c:layout>
        <c:manualLayout>
          <c:layoutTarget val="inner"/>
          <c:xMode val="edge"/>
          <c:yMode val="edge"/>
          <c:x val="0.0617414"/>
          <c:y val="0.0399493"/>
          <c:w val="0.933259"/>
          <c:h val="0.8164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2021/2022 (6 класс)</c:v>
                </c:pt>
              </c:strCache>
            </c:strRef>
          </c:tx>
          <c:spPr>
            <a:gradFill flip="none" rotWithShape="1">
              <a:gsLst>
                <a:gs pos="0">
                  <a:srgbClr val="3673AA"/>
                </a:gs>
                <a:gs pos="80000">
                  <a:srgbClr val="4697E0"/>
                </a:gs>
                <a:gs pos="100000">
                  <a:srgbClr val="4498E4"/>
                </a:gs>
              </a:gsLst>
              <a:lin ang="16200000" scaled="0"/>
            </a:gradFill>
            <a:ln w="12700" cap="flat">
              <a:noFill/>
              <a:miter lim="400000"/>
            </a:ln>
            <a:effectLst>
              <a:outerShdw sx="100000" sy="100000" kx="0" ky="0" algn="tl" rotWithShape="1" blurRad="38100" dist="23000" dir="5400000">
                <a:srgbClr val="000000">
                  <a:alpha val="35000"/>
                </a:srgbClr>
              </a:outerShdw>
            </a:effectLst>
          </c:spPr>
          <c:invertIfNegative val="0"/>
          <c:dLbls>
            <c:numFmt formatCode="0%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4546A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низкий</c:v>
                </c:pt>
                <c:pt idx="1">
                  <c:v>удовлетворительный</c:v>
                </c:pt>
                <c:pt idx="2">
                  <c:v>средний</c:v>
                </c:pt>
                <c:pt idx="3">
                  <c:v>достаточный</c:v>
                </c:pt>
                <c:pt idx="4">
                  <c:v>высокий</c:v>
                </c:pt>
              </c:strCache>
            </c:strRef>
          </c:cat>
          <c:val>
            <c:numRef>
              <c:f>Sheet1!$B$2:$B$6</c:f>
              <c:numCache>
                <c:ptCount val="5"/>
                <c:pt idx="0">
                  <c:v>0.000000</c:v>
                </c:pt>
                <c:pt idx="1">
                  <c:v>0.230000</c:v>
                </c:pt>
                <c:pt idx="2">
                  <c:v>0.230000</c:v>
                </c:pt>
                <c:pt idx="3">
                  <c:v>0.230000</c:v>
                </c:pt>
                <c:pt idx="4">
                  <c:v>0.310000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2022/2023 (8 класс)</c:v>
                </c:pt>
              </c:strCache>
            </c:strRef>
          </c:tx>
          <c:spPr>
            <a:gradFill flip="none" rotWithShape="1">
              <a:gsLst>
                <a:gs pos="0">
                  <a:srgbClr val="C3580F"/>
                </a:gs>
                <a:gs pos="80000">
                  <a:srgbClr val="FF7416"/>
                </a:gs>
                <a:gs pos="100000">
                  <a:srgbClr val="FF7517"/>
                </a:gs>
              </a:gsLst>
              <a:lin ang="16200000" scaled="0"/>
            </a:gradFill>
            <a:ln w="12700" cap="flat">
              <a:noFill/>
              <a:miter lim="400000"/>
            </a:ln>
            <a:effectLst>
              <a:outerShdw sx="100000" sy="100000" kx="0" ky="0" algn="tl" rotWithShape="1" blurRad="38100" dist="23000" dir="5400000">
                <a:srgbClr val="000000">
                  <a:alpha val="35000"/>
                </a:srgbClr>
              </a:outerShdw>
            </a:effectLst>
          </c:spPr>
          <c:invertIfNegative val="0"/>
          <c:dLbls>
            <c:numFmt formatCode="0%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4546A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низкий</c:v>
                </c:pt>
                <c:pt idx="1">
                  <c:v>удовлетворительный</c:v>
                </c:pt>
                <c:pt idx="2">
                  <c:v>средний</c:v>
                </c:pt>
                <c:pt idx="3">
                  <c:v>достаточный</c:v>
                </c:pt>
                <c:pt idx="4">
                  <c:v>высокий</c:v>
                </c:pt>
              </c:strCache>
            </c:strRef>
          </c:cat>
          <c:val>
            <c:numRef>
              <c:f>Sheet1!$C$2:$C$6</c:f>
              <c:numCache>
                <c:ptCount val="5"/>
                <c:pt idx="0">
                  <c:v>0.000000</c:v>
                </c:pt>
                <c:pt idx="1">
                  <c:v>0.080000</c:v>
                </c:pt>
                <c:pt idx="2">
                  <c:v>0.230000</c:v>
                </c:pt>
                <c:pt idx="3">
                  <c:v>0.310000</c:v>
                </c:pt>
                <c:pt idx="4">
                  <c:v>0.380000</c:v>
                </c:pt>
              </c:numCache>
            </c:numRef>
          </c:val>
        </c:ser>
        <c:gapWidth val="100"/>
        <c:overlap val="-24"/>
        <c:axId val="2094734552"/>
        <c:axId val="2094734553"/>
      </c:bar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E0E5EB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44546A"/>
                </a:solidFill>
                <a:latin typeface="Calibri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E0E5EB"/>
              </a:solidFill>
              <a:prstDash val="solid"/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44546A"/>
                </a:solidFill>
                <a:latin typeface="Calibri"/>
              </a:defRPr>
            </a:pPr>
          </a:p>
        </c:txPr>
        <c:crossAx val="2094734552"/>
        <c:crosses val="autoZero"/>
        <c:crossBetween val="between"/>
        <c:majorUnit val="0.1"/>
        <c:minorUnit val="0.0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29041"/>
          <c:y val="0.947551"/>
          <c:w val="0.438836"/>
          <c:h val="0.0524493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44546A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E0E5EB"/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