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Утверждаю</w:t>
        <w:tab/>
        <w:t xml:space="preserve">                                                            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ГУО «Средняя школа  №44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имени Н.А. Лебедева г. Гомеля»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________________ Е. Л. Ленкова</w:t>
        <w:tab/>
        <w:tab/>
        <w:tab/>
        <w:tab/>
        <w:tab/>
        <w:t xml:space="preserve">                 </w:t>
        <w:tab/>
        <w:tab/>
        <w:tab/>
        <w:tab/>
        <w:t xml:space="preserve">  «__»_______________________            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725805</wp:posOffset>
                </wp:positionH>
                <wp:positionV relativeFrom="paragraph">
                  <wp:posOffset>-1269</wp:posOffset>
                </wp:positionV>
                <wp:extent cx="5841365" cy="1200785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5" cy="1200785"/>
                        </a:xfrm>
                        <a:prstGeom prst="rect"/>
                        <a:solidFill>
                          <a:srgbClr val="336699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725805</wp:posOffset>
                </wp:positionH>
                <wp:positionV relativeFrom="paragraph">
                  <wp:posOffset>-1269</wp:posOffset>
                </wp:positionV>
                <wp:extent cx="5841365" cy="120078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1365" cy="1200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8"/>
        <w:gridCol w:w="2921"/>
        <w:gridCol w:w="2588"/>
        <w:gridCol w:w="66"/>
        <w:gridCol w:w="3040"/>
        <w:tblGridChange w:id="0">
          <w:tblGrid>
            <w:gridCol w:w="2408"/>
            <w:gridCol w:w="2921"/>
            <w:gridCol w:w="2588"/>
            <w:gridCol w:w="66"/>
            <w:gridCol w:w="3040"/>
          </w:tblGrid>
        </w:tblGridChange>
      </w:tblGrid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Физкультурно-оздоровительные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Секция  «Легкая атлетика»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(У «Специализированная детско-юношеская школа олимпийского резерва»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профсоюзов «СОЖ»)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10.30-12.00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спортзал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2-4-е классы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Елисеева В. П. </w:t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Спортивные игры «Быстрее! Выше! Сильнее!»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13.00-15.00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спортзал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5-8-е классы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Захарченко А. В.</w:t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Объединение по интересам «Волейбол»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17.45-20.00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спортзал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9-11-е классы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Трибелустова Р. Ю.</w:t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Освоение социокультурного пространства: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Поход в цирк «Магия великих слов»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цирк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«В», 3 «А»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Малашкова И. В.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Ермоленко О. Е.</w:t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в квесте «Ай-ти Гомель»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рамках работы объединения по интересам «Основы компьютерной грамотности»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9.00-10.45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3-и, 4-е классы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Мойсеенко И.Ю.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Работа объединений по интересам: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Объединение по интересам «Юные спасатели-пожарные»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11.00-11.45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каб. 2-8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(Наша комната)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8-10-е классы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Хаданович Д. А.</w:t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Клуб «Искатель»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10.30-12.00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школьный музей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5-е классы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Ремизова И. В.</w:t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Образовательные мероприятия: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ШБП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9.00-11.00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11.30-13.30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10.00-11.30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каб.2/3-4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каб.3/3-2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Горошко Ж. Н.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Андросенко Е. А.</w:t>
            </w:r>
          </w:p>
        </w:tc>
      </w:tr>
      <w:tr>
        <w:trPr>
          <w:trHeight w:val="38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Профилактическая работа с детьми и их законными представителями: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17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Групповая работа с учащимися «Правила общения в сети интернет»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каб. 1-8’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6-8-е классы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Свириденко Н. А. </w:t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9.00-20.00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Дежурный администратор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зам. директора по учебной работе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Балащенко О. Н.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Заместитель директора по ВР</w:t>
        <w:tab/>
        <w:tab/>
        <w:tab/>
        <w:tab/>
        <w:tab/>
        <w:tab/>
        <w:tab/>
        <w:tab/>
        <w:t xml:space="preserve">В.С. Боярович</w:t>
      </w:r>
    </w:p>
    <w:sectPr>
      <w:pgSz w:h="16838" w:w="11906"/>
      <w:pgMar w:bottom="284" w:top="284" w:left="426" w:right="2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eastAsia="Arial Unicode MS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tyle3">
    <w:name w:val="Style3"/>
    <w:basedOn w:val="Обычный"/>
    <w:next w:val="Style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74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FontStyle12">
    <w:name w:val="Font Style12"/>
    <w:next w:val="FontStyle12"/>
    <w:autoRedefine w:val="0"/>
    <w:hidden w:val="0"/>
    <w:qFormat w:val="0"/>
    <w:rPr>
      <w:rFonts w:ascii="Times New Roman" w:cs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ветлаязаливка">
    <w:name w:val="Светлая заливка"/>
    <w:basedOn w:val="Обычнаятаблица"/>
    <w:next w:val="Светлаязалив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/>
    </w:rPr>
    <w:tblPr>
      <w:tblStyle w:val="Светлаязаливка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rFonts w:ascii="Times New Roman" w:eastAsia="Arial Unicode MS" w:hAnsi="Times New Roman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styleId="c5">
    <w:name w:val="c5"/>
    <w:basedOn w:val="Основнойшрифтабзаца"/>
    <w:next w:val="c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