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BD" w:rsidRPr="00262DBD" w:rsidRDefault="00262DBD" w:rsidP="00262DBD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262DBD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 </w:t>
      </w:r>
    </w:p>
    <w:p w:rsidR="00262DBD" w:rsidRDefault="00262DBD" w:rsidP="00262DBD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  <w:r w:rsidRPr="00262DBD">
        <w:rPr>
          <w:rFonts w:ascii="Arial" w:eastAsia="Times New Roman" w:hAnsi="Arial" w:cs="Arial"/>
          <w:noProof/>
          <w:color w:val="0000FF"/>
          <w:sz w:val="48"/>
          <w:szCs w:val="48"/>
          <w:lang w:eastAsia="ru-RU"/>
        </w:rPr>
        <w:drawing>
          <wp:anchor distT="0" distB="0" distL="0" distR="0" simplePos="0" relativeHeight="251659264" behindDoc="0" locked="0" layoutInCell="1" allowOverlap="0" wp14:anchorId="1978073C" wp14:editId="2CBA359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86050" cy="1714500"/>
            <wp:effectExtent l="0" t="0" r="0" b="0"/>
            <wp:wrapSquare wrapText="bothSides"/>
            <wp:docPr id="1" name="Рисунок 1" descr="http://gimn1.of.by/userfiles/5909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1.of.by/userfiles/590935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FF0000"/>
          <w:sz w:val="48"/>
          <w:szCs w:val="48"/>
          <w:shd w:val="clear" w:color="auto" w:fill="FFFF99"/>
          <w:lang w:eastAsia="ru-RU"/>
        </w:rPr>
        <w:t xml:space="preserve">ОСТОРОЖНО! </w:t>
      </w:r>
      <w:r w:rsidRPr="00262DBD">
        <w:rPr>
          <w:rFonts w:ascii="Arial" w:eastAsia="Times New Roman" w:hAnsi="Arial" w:cs="Arial"/>
          <w:b/>
          <w:bCs/>
          <w:color w:val="FF0000"/>
          <w:sz w:val="48"/>
          <w:szCs w:val="48"/>
          <w:shd w:val="clear" w:color="auto" w:fill="FFFF99"/>
          <w:lang w:eastAsia="ru-RU"/>
        </w:rPr>
        <w:t>"НАСВАЙ"</w:t>
      </w:r>
      <w:r>
        <w:rPr>
          <w:rFonts w:ascii="Arial" w:eastAsia="Times New Roman" w:hAnsi="Arial" w:cs="Arial"/>
          <w:b/>
          <w:bCs/>
          <w:color w:val="FF0000"/>
          <w:sz w:val="48"/>
          <w:szCs w:val="48"/>
          <w:shd w:val="clear" w:color="auto" w:fill="FFFF99"/>
          <w:lang w:eastAsia="ru-RU"/>
        </w:rPr>
        <w:t>!</w:t>
      </w:r>
    </w:p>
    <w:p w:rsidR="00262DBD" w:rsidRPr="00262DBD" w:rsidRDefault="00262DBD" w:rsidP="00262DBD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Название связано с тем, что раньше для его изготовления применяли растение «нас». Сейчас основным компонентом являются махорка или табак. Добавляют в смесь также гашеную известь, золу различных растений, верблюжий кизяк или куриный помет, иногда масло. Некоторые источники сообщают о добавлении в состав сухофруктов и приправ.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noProof/>
          <w:color w:val="0000FF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25E03CE0" wp14:editId="268C29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3590925"/>
            <wp:effectExtent l="0" t="0" r="0" b="9525"/>
            <wp:wrapSquare wrapText="bothSides"/>
            <wp:docPr id="2" name="Рисунок 2" descr="http://gimn1.of.by/userfiles/narkotik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1.of.by/userfiles/narkotiki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По другим данным,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насваем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считается табачная пыль, смешанная с клеем, известью, водой или растительным маслом, скатанная в шарики. В Средней Азии, где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пользуется огромной популярностью, рецепты его приготовления разные, и часто табачная пыль в смеси вообще отсутствует. Ее могут заменять более активными веществами.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Большинство компонентов смеси вещества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призваны выполнять формообразующую функцию при гранулировании пылеобразных отходов табачного производства. Известь изменяет реакцию среды и способствует всасыванию никотина в кровь через слизистую оболочку ротовой полости. Этому же способствует и куриный помет.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Известны различные виды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»: ташкентский, ферганский, андижанский и другие. Могут использоваться и различные другие названия: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насыбай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пацвай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анасвай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асмай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атмай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Внешний вид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описывают по-разному. В одних случаях это зеленые шарики, в других серовато-коричневый порошок. Есть мнение, что свежий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выглядит как крупные, пропитанные, зеленые зернышки, а несвежий больше похож на порошок и имеет почти черный цвет. Некоторые производители продают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в порошке.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Фабрично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не изготавливается. Его производство организуется в домашних условиях.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иногда называют жевательным табаком, но его не жуют.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noProof/>
          <w:color w:val="0000FF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6ACC8070" wp14:editId="426832A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33425" cy="1219200"/>
            <wp:effectExtent l="0" t="0" r="9525" b="0"/>
            <wp:wrapSquare wrapText="bothSides"/>
            <wp:docPr id="3" name="Рисунок 3" descr="http://gimn1.of.by/userfiles/narkotik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1.of.by/userfiles/narkotiki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Имеются сообщения о четырех местах применения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»: под нижней или верхней губой, под языком и в носовой полости.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закладывают под нижнюю или верхнюю губу и держат </w:t>
      </w:r>
      <w:proofErr w:type="gram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там</w:t>
      </w:r>
      <w:proofErr w:type="gram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в ожидании эффекта. При закладывании его в рот </w:t>
      </w: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lastRenderedPageBreak/>
        <w:t>стараются не допустить попадания порошка на губы, которые в таком случае покрываются волдырями и язвами. Потребители подчеркивают недопустимость проглатывания обильно выделяющейся слюны.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Выделяют краткосрочные последствия потребления "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": сильное местное жжение слизистой ротовой полости, тяжесть в голове, а позднее и во всех частях тела, апатия, резкое слюноотделение, головокружение, расслабленность мышц.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При длительном потреблении перестают замечаться такие проявления, как жжение, неприятный запах и вкус. Но, вероятно, именно тогда запах становится очевидным для всех окружающих.</w:t>
      </w:r>
    </w:p>
    <w:p w:rsidR="00262DBD" w:rsidRPr="00262DBD" w:rsidRDefault="00262DBD" w:rsidP="00262DBD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Потребители также предупреждают новичков о том, что нельзя сочетать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с алкоголем в силу непредсказуемости эффектов.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По данным узбекских онкологов, 80% случаев рака языка, губы и других органов полости рта, а также гортани были связаны с долгосрочным потреблением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Поскольку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содержит экскременты животных, то, потребляя его, чрезвычайно легко заразиться разнообразными кишечными инфекциями и паразитарными заболеваниями, включая вирусный гепатит.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Садоводы знают, что будет с растением, если его полить неразбавленным раствором куриного помета: оно "сгорит". Врачи подтверждают: то же самое происходит в организме человека: страдают в первую очередь слизистая рта и желудочно-кишечный тракт. Длительный прием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может привести к язве желудка.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Поскольку основным действующим веществом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является табак, развивается также никотиновая зависимость. Специалисты из Кыргызстана, где потребление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распространено давно, высказывают мнение, что эта форма табака более вредна, чем курение сигарет, т.к. человек получает большую дозу никотина, особенно в связи с воздействием извести на слизистую оболочку ротовой полости.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noProof/>
          <w:color w:val="0000FF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326B6B10" wp14:editId="5DF702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3590925"/>
            <wp:effectExtent l="0" t="0" r="0" b="9525"/>
            <wp:wrapSquare wrapText="bothSides"/>
            <wp:docPr id="4" name="Рисунок 4" descr="http://gimn1.of.by/userfiles/narkotik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mn1.of.by/userfiles/narkotiki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Казахстанские наркологи считают, что в некоторые порции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могут добавляться иные наркотические вещества, помимо табака. Таким образом, у потребителей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может развиться не только никотиновая зависимость, но также и зависимость от других химических веществ.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можно отнести к числу психотропных веществ. Его употребление подростками отражается на их психическом развитии - снижается восприятие и ухудшается память, дети становятся неуравновешенными. Потребители сообщают о проблемах с памятью, постоянном состоянии растерянности. Следствиями употребления становятся изменение личности подростка, нарушение его психики.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У детей употребление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очень быстро переходит в привычку, становится нормой. Вскоре подростку хочется уже более сильных ощущений. А если подросток покупает для себя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с такой же легкостью, как жевательную резинку, то нет никакой гарантии, что в ближайшем будущем: он не попробует сильные наркотики.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Потребители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сообщают о разрушении зубов.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jc w:val="center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i/>
          <w:iCs/>
          <w:color w:val="000080"/>
          <w:sz w:val="28"/>
          <w:szCs w:val="28"/>
          <w:lang w:eastAsia="ru-RU"/>
        </w:rPr>
        <w:br/>
      </w:r>
      <w:r w:rsidRPr="00262DBD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shd w:val="clear" w:color="auto" w:fill="FFFF99"/>
          <w:lang w:eastAsia="ru-RU"/>
        </w:rPr>
        <w:t xml:space="preserve">Анализируя </w:t>
      </w:r>
      <w:proofErr w:type="gramStart"/>
      <w:r w:rsidRPr="00262DBD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shd w:val="clear" w:color="auto" w:fill="FFFF99"/>
          <w:lang w:eastAsia="ru-RU"/>
        </w:rPr>
        <w:t>вышеизложенное</w:t>
      </w:r>
      <w:proofErr w:type="gramEnd"/>
      <w:r w:rsidRPr="00262DBD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shd w:val="clear" w:color="auto" w:fill="FFFF99"/>
          <w:lang w:eastAsia="ru-RU"/>
        </w:rPr>
        <w:t>, можно сделать следующие выводы: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По своему </w:t>
      </w:r>
      <w:bookmarkStart w:id="0" w:name="_GoBack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действию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можно отнести к числу психотропных веществ. Его употребление подростками отражается на их психическом развитии: снижается восприятие и ухудшается память, дети становятся неуравновешенными. Потребители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сообщают о проблемах с памятью, постоянном состоянии растерянности. Следствиями употребления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становятся изменение личности </w:t>
      </w:r>
      <w:r w:rsidRPr="00262DBD">
        <w:rPr>
          <w:rFonts w:ascii="Arial" w:eastAsia="Times New Roman" w:hAnsi="Arial" w:cs="Arial"/>
          <w:noProof/>
          <w:color w:val="0000FF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2E0EB251" wp14:editId="04DB897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33425" cy="1219200"/>
            <wp:effectExtent l="0" t="0" r="9525" b="0"/>
            <wp:wrapSquare wrapText="bothSides"/>
            <wp:docPr id="5" name="Рисунок 5" descr="http://gimn1.of.by/userfiles/narkotik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mn1.of.by/userfiles/narkotiki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подростка, нарушение его психики.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Регулярное употребление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вызывает привыкание к нему. В некоторые порции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могут добавляться иные наркотические вещества, помимо табака. У потребителей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может развиться не только никотиновая зависимость, но также и зависимость от других химических веществ. У детей употребление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очень быстро переходит в привычку, становится нормой.</w:t>
      </w:r>
    </w:p>
    <w:p w:rsidR="00262DBD" w:rsidRPr="00262DBD" w:rsidRDefault="00262DBD" w:rsidP="00262DBD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Вскоре подростку хочется уже более «сильных ощущений».</w:t>
      </w:r>
    </w:p>
    <w:p w:rsidR="00262DBD" w:rsidRPr="00262DBD" w:rsidRDefault="00262DBD" w:rsidP="00262DBD">
      <w:pPr>
        <w:shd w:val="clear" w:color="auto" w:fill="E1E1E1"/>
        <w:spacing w:after="0" w:line="270" w:lineRule="atLeast"/>
        <w:ind w:firstLine="709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Употребление «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насвая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» может способствовать к переходу на употребление наркотических средств и других психотропных веществ. </w:t>
      </w:r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br/>
      </w:r>
      <w:proofErr w:type="gram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Дополнительно сообщаем, что подпунктом 3.2 пункта 3 Декрета Президента Республики Беларусь от 17 декабря 2002 г. № 28 «О государственном регулировании производства, оборота и потребления табачного сырья и табачных изделий» на территории Республики Беларусь запрещается производство и оборот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некурительных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табачных изделий, предназначенных для сосания, изготовленных из табака, извести и другого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нетабачного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сырья либо частично или полностью изготовленных из очищенной табачной пыли</w:t>
      </w:r>
      <w:proofErr w:type="gram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и (или) мелкой фракции резаного табака с добавлением или без добавления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нетабачного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сырья и иных ингредиентов, к таким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некурительным</w:t>
      </w:r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табачным изделиям, в частности, относится </w:t>
      </w:r>
      <w:proofErr w:type="spellStart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насвай</w:t>
      </w:r>
      <w:bookmarkEnd w:id="0"/>
      <w:proofErr w:type="spellEnd"/>
      <w:r w:rsidRPr="00262DBD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eastAsia="ru-RU"/>
        </w:rPr>
        <w:t>.</w:t>
      </w:r>
    </w:p>
    <w:p w:rsidR="003731C7" w:rsidRPr="00262DBD" w:rsidRDefault="003731C7">
      <w:pPr>
        <w:rPr>
          <w:sz w:val="28"/>
          <w:szCs w:val="28"/>
        </w:rPr>
      </w:pPr>
    </w:p>
    <w:sectPr w:rsidR="003731C7" w:rsidRPr="00262DBD" w:rsidSect="00262DB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D"/>
    <w:rsid w:val="00262DBD"/>
    <w:rsid w:val="003731C7"/>
    <w:rsid w:val="007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2018-04-11T15:08:00Z</dcterms:created>
  <dcterms:modified xsi:type="dcterms:W3CDTF">2018-04-11T15:10:00Z</dcterms:modified>
</cp:coreProperties>
</file>