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proofErr w:type="spellEnd"/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lastRenderedPageBreak/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lastRenderedPageBreak/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proofErr w:type="spellEnd"/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 xml:space="preserve">(впервые продемонстрирован 10 июля 2023 г. в </w:t>
      </w:r>
      <w:proofErr w:type="spellStart"/>
      <w:r w:rsidRPr="00330889">
        <w:rPr>
          <w:bCs/>
          <w:i/>
          <w:szCs w:val="28"/>
        </w:rPr>
        <w:t>г.Ека</w:t>
      </w:r>
      <w:r w:rsidR="00E94AF4" w:rsidRPr="00330889">
        <w:rPr>
          <w:bCs/>
          <w:i/>
          <w:szCs w:val="28"/>
        </w:rPr>
        <w:t>теринбург</w:t>
      </w:r>
      <w:proofErr w:type="spellEnd"/>
      <w:r w:rsidR="00E94AF4" w:rsidRPr="00330889">
        <w:rPr>
          <w:bCs/>
          <w:i/>
          <w:szCs w:val="28"/>
        </w:rPr>
        <w:t xml:space="preserve">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</w:t>
      </w:r>
      <w:r w:rsidRPr="00330889">
        <w:rPr>
          <w:bCs/>
          <w:sz w:val="30"/>
          <w:szCs w:val="30"/>
        </w:rPr>
        <w:lastRenderedPageBreak/>
        <w:t xml:space="preserve">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</w:t>
      </w:r>
      <w:proofErr w:type="spellStart"/>
      <w:r w:rsidRPr="00330889">
        <w:rPr>
          <w:bCs/>
          <w:i/>
          <w:iCs/>
          <w:szCs w:val="28"/>
        </w:rPr>
        <w:t>Ляховичский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«Пружанский льнозавод», ОАО «Дубровенский льнозавод», ОАО «Ореховский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</w:t>
      </w:r>
      <w:proofErr w:type="spellEnd"/>
      <w:r w:rsidRPr="00330889">
        <w:rPr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lastRenderedPageBreak/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</w:t>
      </w:r>
      <w:r w:rsidRPr="00330889">
        <w:rPr>
          <w:bCs/>
          <w:sz w:val="30"/>
          <w:szCs w:val="30"/>
        </w:rPr>
        <w:lastRenderedPageBreak/>
        <w:t xml:space="preserve">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 xml:space="preserve">в том числе </w:t>
      </w:r>
      <w:r w:rsidR="00666F44" w:rsidRPr="00330889">
        <w:rPr>
          <w:bCs/>
          <w:i/>
          <w:iCs/>
          <w:szCs w:val="28"/>
        </w:rPr>
        <w:lastRenderedPageBreak/>
        <w:t>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330889">
        <w:rPr>
          <w:bCs/>
          <w:i/>
          <w:szCs w:val="28"/>
        </w:rPr>
        <w:t>кВт·ч</w:t>
      </w:r>
      <w:proofErr w:type="spellEnd"/>
      <w:r w:rsidR="00FA3AAD" w:rsidRPr="00330889">
        <w:rPr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</w:t>
      </w:r>
      <w:proofErr w:type="spellEnd"/>
      <w:r w:rsidRPr="00330889">
        <w:rPr>
          <w:bCs/>
          <w:i/>
          <w:szCs w:val="28"/>
        </w:rPr>
        <w:t xml:space="preserve"> Двина, Гродненская ГЭС (17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</w:t>
      </w:r>
      <w:proofErr w:type="spellEnd"/>
      <w:r w:rsidRPr="00330889">
        <w:rPr>
          <w:bCs/>
          <w:i/>
          <w:szCs w:val="28"/>
        </w:rPr>
        <w:t>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н.п.</w:t>
      </w:r>
      <w:r w:rsidRPr="00330889">
        <w:rPr>
          <w:bCs/>
          <w:i/>
          <w:szCs w:val="28"/>
        </w:rPr>
        <w:t>Грабники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lastRenderedPageBreak/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lastRenderedPageBreak/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330889">
        <w:rPr>
          <w:bCs/>
          <w:i/>
          <w:szCs w:val="28"/>
        </w:rPr>
        <w:t>Ханса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DD4E8" w14:textId="77777777" w:rsidR="003A3D4F" w:rsidRDefault="003A3D4F" w:rsidP="00AF1467">
      <w:pPr>
        <w:spacing w:after="0" w:line="240" w:lineRule="auto"/>
      </w:pPr>
      <w:r>
        <w:separator/>
      </w:r>
    </w:p>
  </w:endnote>
  <w:endnote w:type="continuationSeparator" w:id="0">
    <w:p w14:paraId="5A56B9BB" w14:textId="77777777" w:rsidR="003A3D4F" w:rsidRDefault="003A3D4F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D0DD" w14:textId="77777777" w:rsidR="003A3D4F" w:rsidRDefault="003A3D4F" w:rsidP="00AF1467">
      <w:pPr>
        <w:spacing w:after="0" w:line="240" w:lineRule="auto"/>
      </w:pPr>
      <w:r>
        <w:separator/>
      </w:r>
    </w:p>
  </w:footnote>
  <w:footnote w:type="continuationSeparator" w:id="0">
    <w:p w14:paraId="734CFC0A" w14:textId="77777777" w:rsidR="003A3D4F" w:rsidRDefault="003A3D4F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2DD87779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D6">
          <w:rPr>
            <w:noProof/>
          </w:rPr>
          <w:t>15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3D4F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22D6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67A"/>
    <w:rsid w:val="00A36F80"/>
    <w:rsid w:val="00A42EAC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CC45BB8F-3E85-432E-A91C-2C628DF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FD82-6A4D-4EEB-8301-F180D161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Пользователь Windows</cp:lastModifiedBy>
  <cp:revision>2</cp:revision>
  <cp:lastPrinted>2023-11-15T16:03:00Z</cp:lastPrinted>
  <dcterms:created xsi:type="dcterms:W3CDTF">2023-11-15T16:05:00Z</dcterms:created>
  <dcterms:modified xsi:type="dcterms:W3CDTF">2023-11-15T16:05:00Z</dcterms:modified>
</cp:coreProperties>
</file>