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E3" w:rsidRPr="000D17D5" w:rsidRDefault="004F56E3" w:rsidP="000D17D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D17D5">
        <w:rPr>
          <w:rStyle w:val="a3"/>
          <w:rFonts w:ascii="Times New Roman" w:hAnsi="Times New Roman" w:cs="Times New Roman"/>
          <w:sz w:val="28"/>
          <w:szCs w:val="28"/>
        </w:rPr>
        <w:t>Декрет Президента Республики Беларусь от 28.12.2014 № 6</w:t>
      </w:r>
    </w:p>
    <w:p w:rsidR="005D2431" w:rsidRPr="000D17D5" w:rsidRDefault="005F5B2B" w:rsidP="000D17D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5D2431" w:rsidRPr="000D17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неотложных мерах по противодействию незаконному обороту наркотиков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F56E3" w:rsidRPr="000D17D5" w:rsidRDefault="004F56E3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что: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конфискации;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</w:t>
      </w: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таких действий.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Владельцы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 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материалов. Такие уведомления являются обязательными для </w:t>
      </w: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всеми владельцами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Беларусь.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Определить, что: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неинформирование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деянии</w:t>
      </w:r>
      <w:proofErr w:type="gram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состава преступления, – влечет наложение штрафа в размере от десяти до </w:t>
      </w: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двадцати базовых величин, а на индивидуального предпринимателя или юридическое лицо – от двадцати до пятидесяти базовых величин;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неисполнение владельцами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proofErr w:type="gramEnd"/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Настоящий Декрет вступает в силу с 1 января 2015 г.</w:t>
      </w:r>
    </w:p>
    <w:p w:rsidR="004F56E3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Процессуально-исполнительный</w:t>
      </w:r>
      <w:proofErr w:type="spellEnd"/>
      <w:r w:rsidRPr="000D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Республики Беларусь об административных  правонарушениях.</w:t>
      </w:r>
    </w:p>
    <w:p w:rsidR="004F56E3" w:rsidRPr="000D17D5" w:rsidRDefault="004F56E3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31" w:rsidRPr="000D17D5" w:rsidRDefault="005D2431" w:rsidP="000D17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Президент Республики Беларусь                                       А.Лукашенко</w:t>
      </w:r>
    </w:p>
    <w:p w:rsidR="003419EE" w:rsidRPr="00F3139E" w:rsidRDefault="003419EE" w:rsidP="004F56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9EE" w:rsidRPr="00F3139E" w:rsidSect="0001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431"/>
    <w:rsid w:val="00016B22"/>
    <w:rsid w:val="000D17D5"/>
    <w:rsid w:val="003419EE"/>
    <w:rsid w:val="004F56E3"/>
    <w:rsid w:val="005D2431"/>
    <w:rsid w:val="005F5B2B"/>
    <w:rsid w:val="00870333"/>
    <w:rsid w:val="00E7047A"/>
    <w:rsid w:val="00F3139E"/>
    <w:rsid w:val="00F3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2016-12-20T07:56:00Z</dcterms:created>
  <dcterms:modified xsi:type="dcterms:W3CDTF">2016-12-20T07:56:00Z</dcterms:modified>
</cp:coreProperties>
</file>