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05" w:rsidRPr="00C15405" w:rsidRDefault="00C15405" w:rsidP="00C15405">
      <w:pPr>
        <w:ind w:firstLine="0"/>
        <w:jc w:val="left"/>
        <w:rPr>
          <w:rFonts w:eastAsia="Times New Roman" w:cs="Times New Roman"/>
          <w:szCs w:val="24"/>
          <w:lang w:eastAsia="ru-RU"/>
        </w:rPr>
      </w:pPr>
      <w:r w:rsidRPr="00C15405">
        <w:rPr>
          <w:rFonts w:eastAsia="Times New Roman" w:cs="Times New Roman"/>
          <w:color w:val="0000FF"/>
          <w:sz w:val="34"/>
          <w:szCs w:val="34"/>
          <w:shd w:val="clear" w:color="auto" w:fill="FFFFFF"/>
          <w:lang w:eastAsia="ru-RU"/>
        </w:rPr>
        <w:t>Методическая памятка по сдаче учащимися квалификационного экзамена</w:t>
      </w:r>
    </w:p>
    <w:p w:rsidR="00C15405" w:rsidRPr="00C15405" w:rsidRDefault="00C15405" w:rsidP="00C15405">
      <w:pPr>
        <w:shd w:val="clear" w:color="auto" w:fill="FFFFFF"/>
        <w:ind w:firstLine="0"/>
        <w:rPr>
          <w:rFonts w:ascii="Tahoma" w:eastAsia="Times New Roman" w:hAnsi="Tahoma" w:cs="Tahoma"/>
          <w:color w:val="000000"/>
          <w:szCs w:val="24"/>
          <w:lang w:eastAsia="ru-RU"/>
        </w:rPr>
      </w:pPr>
      <w:r w:rsidRPr="00C15405">
        <w:rPr>
          <w:rFonts w:eastAsia="Times New Roman" w:cs="Times New Roman"/>
          <w:color w:val="000000"/>
          <w:sz w:val="29"/>
          <w:szCs w:val="29"/>
          <w:lang w:eastAsia="ru-RU"/>
        </w:rPr>
        <w:t>Цель - подтверждение учащимися результатов освоения образовательной программы профессиональной подготовки рабочих (служащих) в рамках учебного предмета «Трудовое обучение».</w:t>
      </w:r>
    </w:p>
    <w:p w:rsidR="00C15405" w:rsidRPr="00C15405" w:rsidRDefault="00C15405" w:rsidP="00C15405">
      <w:pPr>
        <w:shd w:val="clear" w:color="auto" w:fill="FFFFFF"/>
        <w:ind w:firstLine="0"/>
        <w:rPr>
          <w:rFonts w:ascii="Tahoma" w:eastAsia="Times New Roman" w:hAnsi="Tahoma" w:cs="Tahoma"/>
          <w:color w:val="000000"/>
          <w:szCs w:val="24"/>
          <w:lang w:eastAsia="ru-RU"/>
        </w:rPr>
      </w:pPr>
      <w:r w:rsidRPr="00C15405">
        <w:rPr>
          <w:rFonts w:eastAsia="Times New Roman" w:cs="Times New Roman"/>
          <w:color w:val="000000"/>
          <w:sz w:val="29"/>
          <w:szCs w:val="29"/>
          <w:lang w:eastAsia="ru-RU"/>
        </w:rPr>
        <w:t>Порядок проведения квалификационного экзамена определяется Правилами проведения аттестации слушателей, стажеров при присвоении содержания образовательных программ дополнительного образования взрослых, утвержденными постановлением Министерства образования от 24.12.2013 №135 (далее – Правила проведения аттестации).</w:t>
      </w:r>
    </w:p>
    <w:tbl>
      <w:tblPr>
        <w:tblW w:w="0" w:type="auto"/>
        <w:tblBorders>
          <w:top w:val="outset" w:sz="18" w:space="0" w:color="444444"/>
          <w:left w:val="outset" w:sz="18" w:space="0" w:color="444444"/>
          <w:bottom w:val="outset" w:sz="18" w:space="0" w:color="444444"/>
          <w:right w:val="outset" w:sz="18" w:space="0" w:color="444444"/>
        </w:tblBorders>
        <w:tblCellMar>
          <w:left w:w="0" w:type="dxa"/>
          <w:right w:w="0" w:type="dxa"/>
        </w:tblCellMar>
        <w:tblLook w:val="04A0"/>
      </w:tblPr>
      <w:tblGrid>
        <w:gridCol w:w="9371"/>
      </w:tblGrid>
      <w:tr w:rsidR="00C15405" w:rsidRPr="00C15405" w:rsidTr="00C15405">
        <w:tc>
          <w:tcPr>
            <w:tcW w:w="11970" w:type="dxa"/>
            <w:tcBorders>
              <w:top w:val="outset" w:sz="6" w:space="0" w:color="auto"/>
              <w:left w:val="outset" w:sz="6" w:space="0" w:color="auto"/>
              <w:bottom w:val="outset" w:sz="6" w:space="0" w:color="auto"/>
              <w:right w:val="outset" w:sz="6" w:space="0" w:color="auto"/>
            </w:tcBorders>
            <w:vAlign w:val="center"/>
            <w:hideMark/>
          </w:tcPr>
          <w:p w:rsidR="00C15405" w:rsidRPr="00C15405" w:rsidRDefault="00C15405" w:rsidP="00C15405">
            <w:pPr>
              <w:ind w:firstLine="0"/>
              <w:rPr>
                <w:rFonts w:eastAsia="Times New Roman" w:cs="Times New Roman"/>
                <w:szCs w:val="24"/>
                <w:lang w:eastAsia="ru-RU"/>
              </w:rPr>
            </w:pPr>
            <w:r w:rsidRPr="00C15405">
              <w:rPr>
                <w:rFonts w:eastAsia="Times New Roman" w:cs="Times New Roman"/>
                <w:szCs w:val="24"/>
                <w:lang w:eastAsia="ru-RU"/>
              </w:rPr>
              <w:t>Квалификационный экзамен не является обязательным.</w:t>
            </w:r>
          </w:p>
        </w:tc>
      </w:tr>
      <w:tr w:rsidR="00C15405" w:rsidRPr="00C15405" w:rsidTr="00C15405">
        <w:tc>
          <w:tcPr>
            <w:tcW w:w="11970" w:type="dxa"/>
            <w:tcBorders>
              <w:top w:val="outset" w:sz="6" w:space="0" w:color="auto"/>
              <w:left w:val="outset" w:sz="6" w:space="0" w:color="auto"/>
              <w:bottom w:val="outset" w:sz="6" w:space="0" w:color="auto"/>
              <w:right w:val="outset" w:sz="6" w:space="0" w:color="auto"/>
            </w:tcBorders>
            <w:vAlign w:val="center"/>
            <w:hideMark/>
          </w:tcPr>
          <w:p w:rsidR="00C15405" w:rsidRPr="00C15405" w:rsidRDefault="00C15405" w:rsidP="00C15405">
            <w:pPr>
              <w:ind w:firstLine="0"/>
              <w:rPr>
                <w:rFonts w:eastAsia="Times New Roman" w:cs="Times New Roman"/>
                <w:szCs w:val="24"/>
                <w:lang w:eastAsia="ru-RU"/>
              </w:rPr>
            </w:pPr>
            <w:r w:rsidRPr="00C15405">
              <w:rPr>
                <w:rFonts w:eastAsia="Times New Roman" w:cs="Times New Roman"/>
                <w:szCs w:val="24"/>
                <w:lang w:eastAsia="ru-RU"/>
              </w:rPr>
              <w:t>К квалификационному экзамену допускаются учащиеся, выполнившие в полном объеме требования учебно-программной документации и имеющие итоговую отметку по учебному предмету «Трудовое обучение» не ниже 3 (трех) баллов.</w:t>
            </w:r>
          </w:p>
        </w:tc>
      </w:tr>
      <w:tr w:rsidR="00C15405" w:rsidRPr="00C15405" w:rsidTr="00C15405">
        <w:tc>
          <w:tcPr>
            <w:tcW w:w="11970" w:type="dxa"/>
            <w:tcBorders>
              <w:top w:val="outset" w:sz="6" w:space="0" w:color="auto"/>
              <w:left w:val="outset" w:sz="6" w:space="0" w:color="auto"/>
              <w:bottom w:val="outset" w:sz="6" w:space="0" w:color="auto"/>
              <w:right w:val="outset" w:sz="6" w:space="0" w:color="auto"/>
            </w:tcBorders>
            <w:vAlign w:val="center"/>
            <w:hideMark/>
          </w:tcPr>
          <w:p w:rsidR="00C15405" w:rsidRPr="00C15405" w:rsidRDefault="00C15405" w:rsidP="00C15405">
            <w:pPr>
              <w:ind w:firstLine="0"/>
              <w:rPr>
                <w:rFonts w:eastAsia="Times New Roman" w:cs="Times New Roman"/>
                <w:szCs w:val="24"/>
                <w:lang w:eastAsia="ru-RU"/>
              </w:rPr>
            </w:pPr>
            <w:r w:rsidRPr="00C15405">
              <w:rPr>
                <w:rFonts w:eastAsia="Times New Roman" w:cs="Times New Roman"/>
                <w:szCs w:val="24"/>
                <w:lang w:eastAsia="ru-RU"/>
              </w:rPr>
              <w:t>Перед началом квалификационного экзамена по результатам теоретического обучения государственной квалификационной комиссии представляются следующие документы:</w:t>
            </w:r>
          </w:p>
          <w:p w:rsidR="00C15405" w:rsidRPr="00C15405" w:rsidRDefault="00C15405" w:rsidP="00C15405">
            <w:pPr>
              <w:numPr>
                <w:ilvl w:val="0"/>
                <w:numId w:val="1"/>
              </w:numPr>
              <w:ind w:left="0"/>
              <w:rPr>
                <w:rFonts w:eastAsia="Times New Roman" w:cs="Times New Roman"/>
                <w:szCs w:val="24"/>
                <w:lang w:eastAsia="ru-RU"/>
              </w:rPr>
            </w:pPr>
            <w:r w:rsidRPr="00C15405">
              <w:rPr>
                <w:rFonts w:eastAsia="Times New Roman" w:cs="Times New Roman"/>
                <w:szCs w:val="24"/>
                <w:lang w:eastAsia="ru-RU"/>
              </w:rPr>
              <w:t>приказ по учреждению образования о допуске учащихся к сдаче квалификационного экзамена;</w:t>
            </w:r>
          </w:p>
          <w:p w:rsidR="00C15405" w:rsidRPr="00C15405" w:rsidRDefault="00C15405" w:rsidP="00C15405">
            <w:pPr>
              <w:numPr>
                <w:ilvl w:val="0"/>
                <w:numId w:val="1"/>
              </w:numPr>
              <w:ind w:left="0"/>
              <w:rPr>
                <w:rFonts w:eastAsia="Times New Roman" w:cs="Times New Roman"/>
                <w:szCs w:val="24"/>
                <w:lang w:eastAsia="ru-RU"/>
              </w:rPr>
            </w:pPr>
            <w:r w:rsidRPr="00C15405">
              <w:rPr>
                <w:rFonts w:eastAsia="Times New Roman" w:cs="Times New Roman"/>
                <w:szCs w:val="24"/>
                <w:lang w:eastAsia="ru-RU"/>
              </w:rPr>
              <w:t>дневник учета учебно-производственных работ (заданий) при прохождении производственного обучения;</w:t>
            </w:r>
          </w:p>
          <w:p w:rsidR="00C15405" w:rsidRPr="00C15405" w:rsidRDefault="00C15405" w:rsidP="00C15405">
            <w:pPr>
              <w:numPr>
                <w:ilvl w:val="0"/>
                <w:numId w:val="1"/>
              </w:numPr>
              <w:ind w:left="0"/>
              <w:rPr>
                <w:rFonts w:eastAsia="Times New Roman" w:cs="Times New Roman"/>
                <w:szCs w:val="24"/>
                <w:lang w:eastAsia="ru-RU"/>
              </w:rPr>
            </w:pPr>
            <w:r w:rsidRPr="00C15405">
              <w:rPr>
                <w:rFonts w:eastAsia="Times New Roman" w:cs="Times New Roman"/>
                <w:szCs w:val="24"/>
                <w:lang w:eastAsia="ru-RU"/>
              </w:rPr>
              <w:t>наряд-задание на выполнение квалификационной пробной работы;</w:t>
            </w:r>
          </w:p>
          <w:p w:rsidR="00C15405" w:rsidRPr="00C15405" w:rsidRDefault="00C15405" w:rsidP="00C15405">
            <w:pPr>
              <w:numPr>
                <w:ilvl w:val="0"/>
                <w:numId w:val="1"/>
              </w:numPr>
              <w:ind w:left="0"/>
              <w:rPr>
                <w:rFonts w:eastAsia="Times New Roman" w:cs="Times New Roman"/>
                <w:szCs w:val="24"/>
                <w:lang w:eastAsia="ru-RU"/>
              </w:rPr>
            </w:pPr>
            <w:r w:rsidRPr="00C15405">
              <w:rPr>
                <w:rFonts w:eastAsia="Times New Roman" w:cs="Times New Roman"/>
                <w:szCs w:val="24"/>
                <w:lang w:eastAsia="ru-RU"/>
              </w:rPr>
              <w:t>заключение на квалификационную пробную работу, выполненную учащимся или заключение о достигнутом уровне квалификации учащегося.</w:t>
            </w:r>
          </w:p>
        </w:tc>
      </w:tr>
      <w:tr w:rsidR="00C15405" w:rsidRPr="00C15405" w:rsidTr="00C15405">
        <w:tc>
          <w:tcPr>
            <w:tcW w:w="11970" w:type="dxa"/>
            <w:tcBorders>
              <w:top w:val="outset" w:sz="6" w:space="0" w:color="auto"/>
              <w:left w:val="outset" w:sz="6" w:space="0" w:color="auto"/>
              <w:bottom w:val="outset" w:sz="6" w:space="0" w:color="auto"/>
              <w:right w:val="outset" w:sz="6" w:space="0" w:color="auto"/>
            </w:tcBorders>
            <w:vAlign w:val="center"/>
            <w:hideMark/>
          </w:tcPr>
          <w:p w:rsidR="00C15405" w:rsidRPr="00C15405" w:rsidRDefault="00C15405" w:rsidP="00C15405">
            <w:pPr>
              <w:ind w:firstLine="0"/>
              <w:rPr>
                <w:rFonts w:eastAsia="Times New Roman" w:cs="Times New Roman"/>
                <w:szCs w:val="24"/>
                <w:lang w:eastAsia="ru-RU"/>
              </w:rPr>
            </w:pPr>
            <w:r w:rsidRPr="00C15405">
              <w:rPr>
                <w:rFonts w:eastAsia="Times New Roman" w:cs="Times New Roman"/>
                <w:szCs w:val="24"/>
                <w:lang w:eastAsia="ru-RU"/>
              </w:rPr>
              <w:t>Экзамен по результатам теоретического обучения проводится по билетам или тестам.</w:t>
            </w:r>
          </w:p>
        </w:tc>
      </w:tr>
      <w:tr w:rsidR="00C15405" w:rsidRPr="00C15405" w:rsidTr="00C15405">
        <w:tc>
          <w:tcPr>
            <w:tcW w:w="11970" w:type="dxa"/>
            <w:tcBorders>
              <w:top w:val="outset" w:sz="6" w:space="0" w:color="auto"/>
              <w:left w:val="outset" w:sz="6" w:space="0" w:color="auto"/>
              <w:bottom w:val="outset" w:sz="6" w:space="0" w:color="auto"/>
              <w:right w:val="outset" w:sz="6" w:space="0" w:color="auto"/>
            </w:tcBorders>
            <w:vAlign w:val="center"/>
            <w:hideMark/>
          </w:tcPr>
          <w:p w:rsidR="00C15405" w:rsidRPr="00C15405" w:rsidRDefault="00C15405" w:rsidP="00C15405">
            <w:pPr>
              <w:ind w:firstLine="0"/>
              <w:rPr>
                <w:rFonts w:eastAsia="Times New Roman" w:cs="Times New Roman"/>
                <w:szCs w:val="24"/>
                <w:lang w:eastAsia="ru-RU"/>
              </w:rPr>
            </w:pPr>
            <w:r w:rsidRPr="00C15405">
              <w:rPr>
                <w:rFonts w:eastAsia="Times New Roman" w:cs="Times New Roman"/>
                <w:szCs w:val="24"/>
                <w:lang w:eastAsia="ru-RU"/>
              </w:rPr>
              <w:t>На проведение экзамена по результатам теоретического обучения отводится не более 15 минут на одного учащегося. Для подготовки к ответу учащемуся отводится не менее 20 минут.</w:t>
            </w:r>
          </w:p>
          <w:p w:rsidR="00C15405" w:rsidRPr="00C15405" w:rsidRDefault="00C15405" w:rsidP="00C15405">
            <w:pPr>
              <w:ind w:firstLine="0"/>
              <w:rPr>
                <w:rFonts w:eastAsia="Times New Roman" w:cs="Times New Roman"/>
                <w:szCs w:val="24"/>
                <w:lang w:eastAsia="ru-RU"/>
              </w:rPr>
            </w:pPr>
            <w:r w:rsidRPr="00C15405">
              <w:rPr>
                <w:rFonts w:eastAsia="Times New Roman" w:cs="Times New Roman"/>
                <w:szCs w:val="24"/>
                <w:lang w:eastAsia="ru-RU"/>
              </w:rPr>
              <w:t>Количество экзаменационных билетов должно превышать число экзаменуемых в учебном классе (группе). В экзаменационные билеты, как правило, включаются 2-4 вопроса, в том числе практические задания, например, упражнение, решение задачи или иное.</w:t>
            </w:r>
          </w:p>
        </w:tc>
      </w:tr>
      <w:tr w:rsidR="00C15405" w:rsidRPr="00C15405" w:rsidTr="00C15405">
        <w:tc>
          <w:tcPr>
            <w:tcW w:w="11970" w:type="dxa"/>
            <w:tcBorders>
              <w:top w:val="outset" w:sz="6" w:space="0" w:color="auto"/>
              <w:left w:val="outset" w:sz="6" w:space="0" w:color="auto"/>
              <w:bottom w:val="outset" w:sz="6" w:space="0" w:color="auto"/>
              <w:right w:val="outset" w:sz="6" w:space="0" w:color="auto"/>
            </w:tcBorders>
            <w:vAlign w:val="center"/>
            <w:hideMark/>
          </w:tcPr>
          <w:p w:rsidR="00C15405" w:rsidRPr="00C15405" w:rsidRDefault="00C15405" w:rsidP="00C15405">
            <w:pPr>
              <w:ind w:firstLine="0"/>
              <w:rPr>
                <w:rFonts w:eastAsia="Times New Roman" w:cs="Times New Roman"/>
                <w:szCs w:val="24"/>
                <w:lang w:eastAsia="ru-RU"/>
              </w:rPr>
            </w:pPr>
            <w:r w:rsidRPr="00C15405">
              <w:rPr>
                <w:rFonts w:eastAsia="Times New Roman" w:cs="Times New Roman"/>
                <w:szCs w:val="24"/>
                <w:lang w:eastAsia="ru-RU"/>
              </w:rPr>
              <w:t>Ответ учащегося на каждый вопрос (задание) экзаменационного билета оценивается отдельно. Экзаменационная отметка каждого из членов государственной квалификационной комиссии определяется как среднее арифметическое отметок, выставленных за выполнение каждого вопроса (задания) экзаменационного билета.</w:t>
            </w:r>
          </w:p>
        </w:tc>
      </w:tr>
      <w:tr w:rsidR="00C15405" w:rsidRPr="00C15405" w:rsidTr="00C15405">
        <w:tc>
          <w:tcPr>
            <w:tcW w:w="11970" w:type="dxa"/>
            <w:tcBorders>
              <w:top w:val="outset" w:sz="6" w:space="0" w:color="auto"/>
              <w:left w:val="outset" w:sz="6" w:space="0" w:color="auto"/>
              <w:bottom w:val="outset" w:sz="6" w:space="0" w:color="auto"/>
              <w:right w:val="outset" w:sz="6" w:space="0" w:color="auto"/>
            </w:tcBorders>
            <w:vAlign w:val="center"/>
            <w:hideMark/>
          </w:tcPr>
          <w:p w:rsidR="00C15405" w:rsidRPr="00C15405" w:rsidRDefault="00C15405" w:rsidP="00C15405">
            <w:pPr>
              <w:ind w:firstLine="0"/>
              <w:rPr>
                <w:rFonts w:eastAsia="Times New Roman" w:cs="Times New Roman"/>
                <w:szCs w:val="24"/>
                <w:lang w:eastAsia="ru-RU"/>
              </w:rPr>
            </w:pPr>
            <w:r w:rsidRPr="00C15405">
              <w:rPr>
                <w:rFonts w:eastAsia="Times New Roman" w:cs="Times New Roman"/>
                <w:szCs w:val="24"/>
                <w:lang w:eastAsia="ru-RU"/>
              </w:rPr>
              <w:t>Итоговая отметка по результатам квалификационного экзамена выставляется как среднее арифметическое отметок за выполнение квалификационной пробной работы и отметки по результатам теоретического обучения.</w:t>
            </w:r>
          </w:p>
        </w:tc>
      </w:tr>
      <w:tr w:rsidR="00C15405" w:rsidRPr="00C15405" w:rsidTr="00C15405">
        <w:tc>
          <w:tcPr>
            <w:tcW w:w="11970" w:type="dxa"/>
            <w:tcBorders>
              <w:top w:val="outset" w:sz="6" w:space="0" w:color="auto"/>
              <w:left w:val="outset" w:sz="6" w:space="0" w:color="auto"/>
              <w:bottom w:val="outset" w:sz="6" w:space="0" w:color="auto"/>
              <w:right w:val="outset" w:sz="6" w:space="0" w:color="auto"/>
            </w:tcBorders>
            <w:vAlign w:val="center"/>
            <w:hideMark/>
          </w:tcPr>
          <w:p w:rsidR="00C15405" w:rsidRPr="00C15405" w:rsidRDefault="00C15405" w:rsidP="00C15405">
            <w:pPr>
              <w:ind w:firstLine="0"/>
              <w:rPr>
                <w:rFonts w:eastAsia="Times New Roman" w:cs="Times New Roman"/>
                <w:szCs w:val="24"/>
                <w:lang w:eastAsia="ru-RU"/>
              </w:rPr>
            </w:pPr>
            <w:r w:rsidRPr="00C15405">
              <w:rPr>
                <w:rFonts w:eastAsia="Times New Roman" w:cs="Times New Roman"/>
                <w:szCs w:val="24"/>
                <w:lang w:eastAsia="ru-RU"/>
              </w:rPr>
              <w:t>Если учащийся не ответил по билету (не выполнил тестовое задание), государственная квалификационная комиссия по его просьбе может разрешить ответить по другому билету (выполнить другое тестовое задание). При этом в протоколе заседания государственной квалификационной комиссии за экзамен по результатам теоретического обучения вносится соответствующая запись. Вопрос о снижении отметки учащемуся в этом случае решает государственная квалификационная комиссия.</w:t>
            </w:r>
          </w:p>
        </w:tc>
      </w:tr>
      <w:tr w:rsidR="00C15405" w:rsidRPr="00C15405" w:rsidTr="00C15405">
        <w:tc>
          <w:tcPr>
            <w:tcW w:w="11970" w:type="dxa"/>
            <w:tcBorders>
              <w:top w:val="outset" w:sz="6" w:space="0" w:color="auto"/>
              <w:left w:val="outset" w:sz="6" w:space="0" w:color="auto"/>
              <w:bottom w:val="outset" w:sz="6" w:space="0" w:color="auto"/>
              <w:right w:val="outset" w:sz="6" w:space="0" w:color="auto"/>
            </w:tcBorders>
            <w:vAlign w:val="center"/>
            <w:hideMark/>
          </w:tcPr>
          <w:p w:rsidR="00C15405" w:rsidRPr="00C15405" w:rsidRDefault="00C15405" w:rsidP="00C15405">
            <w:pPr>
              <w:ind w:firstLine="0"/>
              <w:rPr>
                <w:rFonts w:eastAsia="Times New Roman" w:cs="Times New Roman"/>
                <w:szCs w:val="24"/>
                <w:lang w:eastAsia="ru-RU"/>
              </w:rPr>
            </w:pPr>
            <w:r w:rsidRPr="00C15405">
              <w:rPr>
                <w:rFonts w:eastAsia="Times New Roman" w:cs="Times New Roman"/>
                <w:szCs w:val="24"/>
                <w:lang w:eastAsia="ru-RU"/>
              </w:rPr>
              <w:t>Отметки, полученные учащимся по результатам экзамена по теоретическому обучению, итоговые отметки по результатам квалификационного экзамена, решение государственной квалификационной комиссии о присвоении разряда (при наличии) и выдаче свидетельства (справки) по результатам профессиональной подготовки рабочего (служащего) объявляются учащимся в день окончания квалификационного экзамена. Итоги экзамена по результатам теоретического обучения оформляются в экзаменационной ведомости.</w:t>
            </w:r>
          </w:p>
        </w:tc>
      </w:tr>
      <w:tr w:rsidR="00C15405" w:rsidRPr="00C15405" w:rsidTr="00C15405">
        <w:tc>
          <w:tcPr>
            <w:tcW w:w="11970" w:type="dxa"/>
            <w:tcBorders>
              <w:top w:val="outset" w:sz="6" w:space="0" w:color="auto"/>
              <w:left w:val="outset" w:sz="6" w:space="0" w:color="auto"/>
              <w:bottom w:val="outset" w:sz="6" w:space="0" w:color="auto"/>
              <w:right w:val="outset" w:sz="6" w:space="0" w:color="auto"/>
            </w:tcBorders>
            <w:vAlign w:val="center"/>
            <w:hideMark/>
          </w:tcPr>
          <w:p w:rsidR="00C15405" w:rsidRPr="00C15405" w:rsidRDefault="00C15405" w:rsidP="00C15405">
            <w:pPr>
              <w:ind w:firstLine="0"/>
              <w:rPr>
                <w:rFonts w:eastAsia="Times New Roman" w:cs="Times New Roman"/>
                <w:szCs w:val="24"/>
                <w:lang w:eastAsia="ru-RU"/>
              </w:rPr>
            </w:pPr>
            <w:r w:rsidRPr="00C15405">
              <w:rPr>
                <w:rFonts w:eastAsia="Times New Roman" w:cs="Times New Roman"/>
                <w:szCs w:val="24"/>
                <w:lang w:eastAsia="ru-RU"/>
              </w:rPr>
              <w:lastRenderedPageBreak/>
              <w:t>Учащимся, не сдававшим квалификационный экзамен в установленный срок по уважительной причине, предоставляется возможность его сдачи в срок, определяемый учреждением образования,</w:t>
            </w:r>
          </w:p>
        </w:tc>
      </w:tr>
      <w:tr w:rsidR="00C15405" w:rsidRPr="00C15405" w:rsidTr="00C15405">
        <w:tc>
          <w:tcPr>
            <w:tcW w:w="11970" w:type="dxa"/>
            <w:tcBorders>
              <w:top w:val="outset" w:sz="6" w:space="0" w:color="auto"/>
              <w:left w:val="outset" w:sz="6" w:space="0" w:color="auto"/>
              <w:bottom w:val="outset" w:sz="6" w:space="0" w:color="auto"/>
              <w:right w:val="outset" w:sz="6" w:space="0" w:color="auto"/>
            </w:tcBorders>
            <w:vAlign w:val="center"/>
            <w:hideMark/>
          </w:tcPr>
          <w:p w:rsidR="00C15405" w:rsidRPr="00C15405" w:rsidRDefault="00C15405" w:rsidP="000E0159">
            <w:pPr>
              <w:ind w:firstLine="0"/>
              <w:rPr>
                <w:rFonts w:eastAsia="Times New Roman" w:cs="Times New Roman"/>
                <w:szCs w:val="24"/>
                <w:lang w:eastAsia="ru-RU"/>
              </w:rPr>
            </w:pPr>
            <w:r w:rsidRPr="00C15405">
              <w:rPr>
                <w:rFonts w:eastAsia="Times New Roman" w:cs="Times New Roman"/>
                <w:szCs w:val="24"/>
                <w:lang w:eastAsia="ru-RU"/>
              </w:rPr>
              <w:t xml:space="preserve">Квалификационный экзамен целесообразно провести до </w:t>
            </w:r>
            <w:r w:rsidR="000E0159">
              <w:rPr>
                <w:rFonts w:eastAsia="Times New Roman" w:cs="Times New Roman"/>
                <w:szCs w:val="24"/>
                <w:lang w:eastAsia="ru-RU"/>
              </w:rPr>
              <w:t>25</w:t>
            </w:r>
            <w:r w:rsidRPr="00C15405">
              <w:rPr>
                <w:rFonts w:eastAsia="Times New Roman" w:cs="Times New Roman"/>
                <w:szCs w:val="24"/>
                <w:lang w:eastAsia="ru-RU"/>
              </w:rPr>
              <w:t xml:space="preserve"> мая текущего учебного года.</w:t>
            </w:r>
          </w:p>
        </w:tc>
      </w:tr>
    </w:tbl>
    <w:p w:rsidR="00E2184E" w:rsidRDefault="00E2184E"/>
    <w:sectPr w:rsidR="00E2184E" w:rsidSect="00E21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D5AC3"/>
    <w:multiLevelType w:val="multilevel"/>
    <w:tmpl w:val="79C2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15405"/>
    <w:rsid w:val="000E0159"/>
    <w:rsid w:val="00122A3E"/>
    <w:rsid w:val="00482478"/>
    <w:rsid w:val="008F57D0"/>
    <w:rsid w:val="009D30B4"/>
    <w:rsid w:val="00C15405"/>
    <w:rsid w:val="00E2184E"/>
    <w:rsid w:val="00F83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2C"/>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83D2C"/>
    <w:rPr>
      <w:i/>
      <w:iCs/>
    </w:rPr>
  </w:style>
  <w:style w:type="paragraph" w:styleId="a4">
    <w:name w:val="No Spacing"/>
    <w:uiPriority w:val="1"/>
    <w:qFormat/>
    <w:rsid w:val="00F83D2C"/>
    <w:pPr>
      <w:spacing w:after="0" w:line="240" w:lineRule="auto"/>
      <w:ind w:firstLine="709"/>
      <w:jc w:val="both"/>
    </w:pPr>
    <w:rPr>
      <w:rFonts w:ascii="Times New Roman" w:hAnsi="Times New Roman"/>
      <w:sz w:val="24"/>
    </w:rPr>
  </w:style>
  <w:style w:type="paragraph" w:styleId="a5">
    <w:name w:val="List Paragraph"/>
    <w:basedOn w:val="a"/>
    <w:uiPriority w:val="34"/>
    <w:qFormat/>
    <w:rsid w:val="00F83D2C"/>
    <w:pPr>
      <w:ind w:left="720"/>
      <w:contextualSpacing/>
    </w:pPr>
  </w:style>
  <w:style w:type="paragraph" w:styleId="2">
    <w:name w:val="Quote"/>
    <w:basedOn w:val="a"/>
    <w:next w:val="a"/>
    <w:link w:val="20"/>
    <w:uiPriority w:val="29"/>
    <w:qFormat/>
    <w:rsid w:val="00F83D2C"/>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F83D2C"/>
    <w:rPr>
      <w:rFonts w:ascii="Times New Roman" w:hAnsi="Times New Roman"/>
      <w:i/>
      <w:iCs/>
      <w:color w:val="404040" w:themeColor="text1" w:themeTint="BF"/>
      <w:sz w:val="24"/>
    </w:rPr>
  </w:style>
  <w:style w:type="character" w:styleId="a6">
    <w:name w:val="Hyperlink"/>
    <w:basedOn w:val="a0"/>
    <w:uiPriority w:val="99"/>
    <w:semiHidden/>
    <w:unhideWhenUsed/>
    <w:rsid w:val="00C15405"/>
    <w:rPr>
      <w:color w:val="0000FF"/>
      <w:u w:val="single"/>
    </w:rPr>
  </w:style>
  <w:style w:type="paragraph" w:styleId="a7">
    <w:name w:val="Normal (Web)"/>
    <w:basedOn w:val="a"/>
    <w:uiPriority w:val="99"/>
    <w:unhideWhenUsed/>
    <w:rsid w:val="00C15405"/>
    <w:pPr>
      <w:spacing w:before="100" w:beforeAutospacing="1" w:after="100" w:afterAutospacing="1"/>
      <w:ind w:firstLine="0"/>
      <w:jc w:val="left"/>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520314823">
      <w:bodyDiv w:val="1"/>
      <w:marLeft w:val="0"/>
      <w:marRight w:val="0"/>
      <w:marTop w:val="0"/>
      <w:marBottom w:val="0"/>
      <w:divBdr>
        <w:top w:val="none" w:sz="0" w:space="0" w:color="auto"/>
        <w:left w:val="none" w:sz="0" w:space="0" w:color="auto"/>
        <w:bottom w:val="none" w:sz="0" w:space="0" w:color="auto"/>
        <w:right w:val="none" w:sz="0" w:space="0" w:color="auto"/>
      </w:divBdr>
      <w:divsChild>
        <w:div w:id="1492217120">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3038</Characters>
  <Application>Microsoft Office Word</Application>
  <DocSecurity>0</DocSecurity>
  <Lines>25</Lines>
  <Paragraphs>7</Paragraphs>
  <ScaleCrop>false</ScaleCrop>
  <Company>Grizli777</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2023-02-28T07:45:00Z</dcterms:created>
  <dcterms:modified xsi:type="dcterms:W3CDTF">2023-03-02T11:40:00Z</dcterms:modified>
</cp:coreProperties>
</file>