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11" w:rsidRPr="0058747D" w:rsidRDefault="00751F35" w:rsidP="0075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bookmark0"/>
      <w:r w:rsidRPr="005874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II «</w:t>
      </w:r>
      <w:r w:rsidR="006F4A11" w:rsidRPr="005874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проведения заседаний </w:t>
      </w:r>
      <w:r w:rsidR="004317DA" w:rsidRPr="005874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6F4A11" w:rsidRPr="005874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</w:t>
      </w:r>
      <w:bookmarkEnd w:id="0"/>
      <w:r w:rsidRPr="005874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1161"/>
        <w:gridCol w:w="2012"/>
        <w:gridCol w:w="7005"/>
        <w:gridCol w:w="1879"/>
        <w:gridCol w:w="2674"/>
      </w:tblGrid>
      <w:tr w:rsidR="006F4A11" w:rsidRPr="0058747D" w:rsidTr="00945315">
        <w:tc>
          <w:tcPr>
            <w:tcW w:w="621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161" w:type="dxa"/>
          </w:tcPr>
          <w:p w:rsidR="006F4A11" w:rsidRPr="0058747D" w:rsidRDefault="006F4A11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  <w:p w:rsidR="006F4A11" w:rsidRPr="0058747D" w:rsidRDefault="006F4A11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</w:t>
            </w:r>
            <w:proofErr w:type="spellEnd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2012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7005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заседания, вопросы для обсуждения</w:t>
            </w:r>
          </w:p>
        </w:tc>
        <w:tc>
          <w:tcPr>
            <w:tcW w:w="1879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Ответствен-</w:t>
            </w:r>
            <w:proofErr w:type="spellStart"/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2674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</w:t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</w:t>
            </w:r>
          </w:p>
        </w:tc>
      </w:tr>
      <w:tr w:rsidR="006F4A11" w:rsidRPr="0058747D" w:rsidTr="00945315">
        <w:tc>
          <w:tcPr>
            <w:tcW w:w="621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6F4A11" w:rsidRPr="0058747D" w:rsidRDefault="006F4A11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Инструктив</w:t>
            </w:r>
            <w:proofErr w:type="spellEnd"/>
            <w:r w:rsidR="00945315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proofErr w:type="gramEnd"/>
            <w:r w:rsidR="0004743C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="0004743C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743C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етоди</w:t>
            </w:r>
            <w:r w:rsidR="0004743C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ческое</w:t>
            </w:r>
            <w:proofErr w:type="spellEnd"/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совещание</w:t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</w:tcPr>
          <w:p w:rsidR="006F4A11" w:rsidRPr="0058747D" w:rsidRDefault="00B2599E" w:rsidP="00587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</w:t>
            </w:r>
            <w:r w:rsidR="00864BEC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Особенности организации образователь</w:t>
            </w:r>
            <w:r w:rsidR="003F3CF8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ного</w:t>
            </w:r>
            <w:proofErr w:type="spellEnd"/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процесса </w:t>
            </w:r>
            <w:r w:rsidR="00607937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07937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учреждениях общего </w:t>
            </w:r>
            <w:r w:rsidR="00607937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среднего образования в </w:t>
            </w:r>
            <w:r w:rsidR="00607937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864BEC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/202</w:t>
            </w:r>
            <w:r w:rsidR="00864BEC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учебном </w:t>
            </w:r>
            <w:r w:rsidR="00607937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году </w:t>
            </w:r>
            <w:r w:rsidR="00607937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6F4A11" w:rsidRPr="005874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7937" w:rsidRPr="005874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6F4A11" w:rsidRPr="005874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учебным </w:t>
            </w:r>
            <w:r w:rsidR="00607937" w:rsidRPr="005874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6F4A11" w:rsidRPr="005874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предметам «География»,</w:t>
            </w:r>
            <w:r w:rsidR="006F4A11" w:rsidRPr="005874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«Химия»,</w:t>
            </w:r>
            <w:r w:rsidR="006F4A11" w:rsidRPr="005874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«Биология</w:t>
            </w:r>
            <w:r w:rsidR="006F4A11"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64BEC"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64BEC" w:rsidRPr="005874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«Математика», «Физика», «Астрономия», «Информатика»</w:t>
            </w:r>
            <w:r w:rsidR="003F3CF8" w:rsidRPr="005874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9321C" w:rsidRPr="0058747D" w:rsidRDefault="00B2599E" w:rsidP="00587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C9321C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обеспечение нормативно-правовой и методической поддержки педагогов</w:t>
            </w:r>
          </w:p>
          <w:p w:rsidR="00B2599E" w:rsidRPr="0058747D" w:rsidRDefault="00B2599E" w:rsidP="00587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 для обсуждения:</w:t>
            </w:r>
          </w:p>
          <w:p w:rsidR="00B2599E" w:rsidRPr="0058747D" w:rsidRDefault="00B2599E" w:rsidP="005874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.Особенности организации образовательного процесса в учреждениях общего среднего образования в 202</w:t>
            </w:r>
            <w:r w:rsidR="00864BEC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/202</w:t>
            </w:r>
            <w:r w:rsidR="00864BEC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 по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учебным предметам «География»,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«Химия»,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«Биология</w:t>
            </w:r>
            <w:r w:rsidR="00864BEC"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«Математика», «Физика», «Астрономия», «Информатика»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526AA" w:rsidRPr="0058747D" w:rsidRDefault="00864BEC" w:rsidP="005874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26AA"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правовое и научно-методическое обеспечение образовательного процесса по информатике, математике, физике, астрономии, биологии, химии, географии в 2024/2025 учебном году: </w:t>
            </w:r>
          </w:p>
          <w:p w:rsidR="000526AA" w:rsidRPr="0058747D" w:rsidRDefault="000526AA" w:rsidP="005874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воспитание в системе образования, общие требования к организации образовательного процесса; </w:t>
            </w:r>
          </w:p>
          <w:p w:rsidR="000526AA" w:rsidRPr="0058747D" w:rsidRDefault="000526AA" w:rsidP="005874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безопасных условий организации образовательного процесса; </w:t>
            </w:r>
          </w:p>
          <w:p w:rsidR="000526AA" w:rsidRPr="0058747D" w:rsidRDefault="000526AA" w:rsidP="005874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программы и новые учебные издания по учебным предметам «Информатика», «Биология», «Химия»; </w:t>
            </w:r>
          </w:p>
          <w:p w:rsidR="000526AA" w:rsidRPr="0058747D" w:rsidRDefault="000526AA" w:rsidP="005874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материалов единого информационнообразовательного ресурса в образовательном процессе по естественно-</w:t>
            </w:r>
            <w:proofErr w:type="gram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математическим  учебным</w:t>
            </w:r>
            <w:proofErr w:type="gram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предметам. </w:t>
            </w:r>
          </w:p>
          <w:p w:rsidR="000526AA" w:rsidRPr="0058747D" w:rsidRDefault="00B2599E" w:rsidP="00587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="000526AA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результатов работы </w:t>
            </w:r>
            <w:r w:rsidR="00CF29E5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методического </w:t>
            </w:r>
            <w:proofErr w:type="gramStart"/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объединения  учителей</w:t>
            </w:r>
            <w:proofErr w:type="gramEnd"/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биологии, химии и  географии  в 20</w:t>
            </w:r>
            <w:r w:rsidR="00200095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526AA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/202</w:t>
            </w:r>
            <w:r w:rsidR="000526AA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году.</w:t>
            </w:r>
          </w:p>
          <w:p w:rsidR="000526AA" w:rsidRPr="0058747D" w:rsidRDefault="000526AA" w:rsidP="00587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2.Анализ результатов работы учебно-методического </w:t>
            </w:r>
            <w:proofErr w:type="gramStart"/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объединения  учителей</w:t>
            </w:r>
            <w:proofErr w:type="gramEnd"/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математики  и информатики, физики и  астрономии  в 2023/2024 учебном году.</w:t>
            </w:r>
          </w:p>
          <w:p w:rsidR="006F4A11" w:rsidRPr="0058747D" w:rsidRDefault="000526AA" w:rsidP="00587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 работы</w:t>
            </w:r>
            <w:proofErr w:type="gramEnd"/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29E5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учебно-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методического объединения  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естественно-математических предметов 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/202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6F4A11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году. </w:t>
            </w:r>
          </w:p>
          <w:p w:rsidR="0058747D" w:rsidRPr="0058747D" w:rsidRDefault="00B2599E" w:rsidP="0058747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="006F4A11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864BEC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</w:t>
            </w:r>
            <w:r w:rsidR="006F4A11"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результатов </w:t>
            </w:r>
            <w:r w:rsidR="00864BEC"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направления совершенствования подготовки учащихся к централизованному экзамену по физике, математике, биологии и химии. </w:t>
            </w:r>
          </w:p>
        </w:tc>
        <w:tc>
          <w:tcPr>
            <w:tcW w:w="1879" w:type="dxa"/>
          </w:tcPr>
          <w:p w:rsidR="00E21EB9" w:rsidRPr="0058747D" w:rsidRDefault="00E21EB9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747D" w:rsidRDefault="0058747D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747D" w:rsidRDefault="0058747D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747D" w:rsidRDefault="0058747D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747D" w:rsidRPr="0058747D" w:rsidRDefault="0058747D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Нестерчук Н.Н.</w:t>
            </w:r>
          </w:p>
          <w:p w:rsidR="0058747D" w:rsidRDefault="0058747D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Липский И.Н.</w:t>
            </w: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Герасименко В.Г.</w:t>
            </w: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Галицкая Т.И.</w:t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</w:tcPr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План работы </w:t>
            </w:r>
            <w:r w:rsidR="004317DA"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proofErr w:type="gramStart"/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 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58747D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/202</w:t>
            </w:r>
            <w:r w:rsidR="0058747D"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</w:t>
            </w:r>
          </w:p>
          <w:p w:rsidR="006F4A11" w:rsidRPr="0058747D" w:rsidRDefault="006F4A11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035B" w:rsidRPr="0058747D" w:rsidTr="0058747D">
        <w:trPr>
          <w:trHeight w:val="4676"/>
        </w:trPr>
        <w:tc>
          <w:tcPr>
            <w:tcW w:w="621" w:type="dxa"/>
            <w:tcBorders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Круглый стол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Семинар-практикум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  <w:vMerge w:val="restart"/>
          </w:tcPr>
          <w:p w:rsidR="0084035B" w:rsidRPr="0058747D" w:rsidRDefault="0084035B" w:rsidP="0058747D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Заседание 1.</w:t>
            </w:r>
            <w:r w:rsidRPr="0058747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8747D">
              <w:rPr>
                <w:b/>
                <w:sz w:val="28"/>
                <w:szCs w:val="28"/>
              </w:rPr>
              <w:t>«</w:t>
            </w:r>
            <w:r w:rsidRPr="0058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  </w:t>
            </w:r>
            <w:proofErr w:type="gramStart"/>
            <w:r w:rsidRPr="0058747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  грамотности</w:t>
            </w:r>
            <w:proofErr w:type="gramEnd"/>
            <w:r w:rsidRPr="0058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учащихся    средствами    учебного   предмета</w:t>
            </w:r>
            <w:r w:rsidRPr="0058747D">
              <w:rPr>
                <w:b/>
                <w:sz w:val="28"/>
                <w:szCs w:val="28"/>
              </w:rPr>
              <w:t>»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Цель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совершенствование</w:t>
            </w:r>
            <w:r w:rsidRPr="0058747D">
              <w:rPr>
                <w:rStyle w:val="a8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 профессиональной компетентности педагогов по 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формированию функциональной грамотности при изучении химии, биологии и географии</w:t>
            </w:r>
            <w:r w:rsidRPr="00587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физики, астрономии и математики, информатики.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для обсуждения: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58747D">
              <w:rPr>
                <w:sz w:val="28"/>
                <w:szCs w:val="28"/>
              </w:rPr>
              <w:t xml:space="preserve">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читательской грамотности как компонента функциональной грамотности на уроках химии, биологии, географии, физики, астрономии и математики, информатики.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естественно - научной грамотности как компонента функциональной грамотности: </w:t>
            </w:r>
            <w:r w:rsidRPr="0058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содержательная</w:t>
            </w:r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область,</w:t>
            </w:r>
            <w:r w:rsidRPr="00587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контекстная</w:t>
            </w:r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8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</w:t>
            </w:r>
            <w:proofErr w:type="gramEnd"/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74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компетентностная</w:t>
            </w:r>
            <w:proofErr w:type="spellEnd"/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область.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решения ситуационных, контекстных, исследовательских, творческих, экспериментальных задач и др. по биологии, химии и географии, физики, астрономии и математики, информатики.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3.Реализация междисциплинарных связей при обучении учащихся решению задач. Особенности реализации развивающей и воспитательной функции при решении задач.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4.Использование методов и средств обучения информатике,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химии, биологии и географии</w:t>
            </w:r>
            <w:r w:rsidRPr="00587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физике, астрономии и математике, способствующих формированию функциональной грамотности; организации личностного взаимодействия учителя и учащихся через создание психологически комфортных и благоприятных условий для деятельности учащихся;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5.Средства и методы реализации воспитательного потенциала учебного занятия по информатике, биологии, химии и географии, физики, астрономии и математики;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8747D">
              <w:rPr>
                <w:sz w:val="28"/>
                <w:szCs w:val="28"/>
              </w:rPr>
              <w:t xml:space="preserve">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контрольно-оценочной и рефлексивной деятельности на учебном занятии по информатике, биологии, химии и географии, физики, астрономии и математики, направленном на формирование функциональной грамотности учащихся».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результатов мониторинга по химии, биологии и географии,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физике, астрономии и математике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I четверть.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.Обсуждение результатов республиканской олимпиады по биологии, химии и географии разного уровня. </w:t>
            </w:r>
          </w:p>
          <w:p w:rsid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IV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.Анализ результатов репетиционного тестирования.</w:t>
            </w:r>
          </w:p>
          <w:p w:rsidR="0058747D" w:rsidRDefault="0058747D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2 </w:t>
            </w:r>
            <w:r w:rsidRPr="0058747D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«Проектная деятельность учащихся как средство формирования функциональной грамотности учащихся»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Совершенствование профессиональной компетентности учителей по организации и проведению учебно-исследовательской деятельности   учащихся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 для обсуждения: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Сущность проектного метода в образовании.</w:t>
            </w: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Отличие исследовательской деятельности от проектной деятельности.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8747D">
              <w:rPr>
                <w:sz w:val="28"/>
                <w:szCs w:val="28"/>
              </w:rPr>
              <w:t xml:space="preserve">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Проектные компетенции, формируемые на учебных занятиях и во внеурочное время по химии, математике, биологии, географии, астрономии, физике, информатике</w:t>
            </w:r>
          </w:p>
          <w:p w:rsidR="00E21EB9" w:rsidRPr="0058747D" w:rsidRDefault="00E21EB9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8747D">
              <w:rPr>
                <w:sz w:val="28"/>
                <w:szCs w:val="28"/>
              </w:rPr>
              <w:t xml:space="preserve">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Факультативные занятия как форма развития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проектных компетенций учащихся.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8747D">
              <w:rPr>
                <w:sz w:val="28"/>
                <w:szCs w:val="28"/>
              </w:rPr>
              <w:t xml:space="preserve">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реализации развивающей и воспитывающей функции проектной деятельности учащихся. Методика организации проектной деятельности учащихся на учебном занятии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Обсуждение результатов мониторинга по химии, биологии и географии, математике, физике, </w:t>
            </w:r>
            <w:proofErr w:type="gramStart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астрономии  за</w:t>
            </w:r>
            <w:proofErr w:type="gramEnd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II четверть.</w:t>
            </w: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.Обсуждение результатов республиканской олимпиады по естественно-математическим предметам. </w:t>
            </w:r>
          </w:p>
          <w:p w:rsidR="0084035B" w:rsidRPr="0058747D" w:rsidRDefault="00856146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Подготовка   </w:t>
            </w:r>
            <w:proofErr w:type="gramStart"/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 РКР</w:t>
            </w:r>
            <w:proofErr w:type="gramEnd"/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  НИКО.</w:t>
            </w:r>
          </w:p>
        </w:tc>
        <w:tc>
          <w:tcPr>
            <w:tcW w:w="1879" w:type="dxa"/>
            <w:vMerge w:val="restart"/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Нестерчук Н.Н.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Липский И.Н.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Герасименко В.Г.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Галицкая Т.И.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Мицура Ю.М.</w:t>
            </w: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Нестерчук Н.Н., 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Мицура Ю.М., 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Липский И.Н., 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Галицкая Т.И.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Нестерчук Н.Н., 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Нестерчук Н.Н.</w:t>
            </w: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Липский И.Н.</w:t>
            </w: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Герасименко В.Г.</w:t>
            </w:r>
          </w:p>
          <w:p w:rsidR="00E21EB9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035B" w:rsidRPr="0058747D" w:rsidRDefault="00E21EB9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Галицкая Т.И.</w:t>
            </w:r>
          </w:p>
        </w:tc>
        <w:tc>
          <w:tcPr>
            <w:tcW w:w="2674" w:type="dxa"/>
            <w:vMerge w:val="restart"/>
          </w:tcPr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опыта педагогов по проектированию, проведению и самоанализу учебного занятия, направленного на формирование функциональной грамотности учащихся.</w:t>
            </w: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747D" w:rsidRDefault="0058747D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B" w:rsidRPr="0058747D" w:rsidRDefault="00856146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Проект учебного занятия с использованием цифровых образовательных ресурсов на уроке как средство формирования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и естественнонаучной, финансовой и математической грамотности</w:t>
            </w: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35B" w:rsidRPr="0058747D" w:rsidRDefault="0084035B" w:rsidP="0058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035B" w:rsidRPr="0058747D" w:rsidTr="0084035B">
        <w:trPr>
          <w:trHeight w:hRule="exact" w:val="3186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05" w:type="dxa"/>
            <w:vMerge/>
            <w:tcBorders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vMerge/>
            <w:tcBorders>
              <w:bottom w:val="single" w:sz="4" w:space="0" w:color="auto"/>
            </w:tcBorders>
          </w:tcPr>
          <w:p w:rsidR="0084035B" w:rsidRPr="0058747D" w:rsidRDefault="0084035B" w:rsidP="00587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DA" w:rsidRPr="0058747D" w:rsidTr="0058747D">
        <w:trPr>
          <w:trHeight w:hRule="exact" w:val="6681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4F44DA" w:rsidRPr="0058747D" w:rsidRDefault="004F44DA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F44DA" w:rsidRPr="0058747D" w:rsidRDefault="004F44DA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F44DA" w:rsidRPr="0058747D" w:rsidRDefault="004F44DA" w:rsidP="00587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опытом</w:t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:rsidR="004F44DA" w:rsidRPr="0058747D" w:rsidRDefault="004F44DA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Заседание 3.</w:t>
            </w:r>
            <w:r w:rsidRPr="005874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8747D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«Современный урок в контексте формирования функциональной грамотности учащихся»</w:t>
            </w:r>
            <w:r w:rsidRPr="005874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F44DA" w:rsidRPr="0058747D" w:rsidRDefault="004F44DA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для обсуждения</w:t>
            </w:r>
          </w:p>
          <w:p w:rsidR="004F44DA" w:rsidRPr="0058747D" w:rsidRDefault="004F44DA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8747D">
              <w:rPr>
                <w:sz w:val="28"/>
                <w:szCs w:val="28"/>
              </w:rPr>
              <w:t xml:space="preserve">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методические аспекты формирования информационной и естественнонаучной грамотности учащихся. </w:t>
            </w:r>
            <w:r w:rsidR="00856146" w:rsidRPr="005874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уроков-практикумов, лабораторных работ, практических работ с использованием цифровых образовательных ресурсов на уроке химии, физики и географии, биологии.</w:t>
            </w:r>
          </w:p>
          <w:p w:rsidR="004F44DA" w:rsidRPr="0058747D" w:rsidRDefault="004F44DA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146" w:rsidRPr="005874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Проектирование учебного занятия с использованием цифровых образовательных ресурсов на уроке как средство формирования информационной и естественнонаучной, финансовой и математической грамотности учащихся.</w:t>
            </w:r>
          </w:p>
          <w:p w:rsidR="004F44DA" w:rsidRPr="0058747D" w:rsidRDefault="004F44DA" w:rsidP="00587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.Обсуждение результатов мониторинга по предметам естественно-математической </w:t>
            </w:r>
            <w:proofErr w:type="gramStart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направленности  за</w:t>
            </w:r>
            <w:proofErr w:type="gramEnd"/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III четверть.</w:t>
            </w:r>
          </w:p>
          <w:p w:rsidR="004F44DA" w:rsidRPr="0058747D" w:rsidRDefault="004F44DA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F44DA" w:rsidRPr="0058747D" w:rsidRDefault="004F44DA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F44DA" w:rsidRPr="0058747D" w:rsidRDefault="004F44DA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F44DA" w:rsidRPr="0058747D" w:rsidRDefault="004F44DA" w:rsidP="0058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F44DA" w:rsidRPr="0058747D" w:rsidRDefault="004F44DA" w:rsidP="005874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856146" w:rsidRPr="0058747D" w:rsidRDefault="00856146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856146" w:rsidRPr="0058747D" w:rsidRDefault="00856146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56146" w:rsidRPr="0058747D" w:rsidRDefault="00856146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56146" w:rsidRPr="0058747D" w:rsidRDefault="00856146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Нестерчук Н.Н.</w:t>
            </w:r>
          </w:p>
          <w:p w:rsidR="00856146" w:rsidRPr="0058747D" w:rsidRDefault="00856146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6146" w:rsidRPr="0058747D" w:rsidRDefault="00856146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6146" w:rsidRPr="0058747D" w:rsidRDefault="00856146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Липский И.Н.</w:t>
            </w:r>
          </w:p>
          <w:p w:rsidR="00856146" w:rsidRPr="0058747D" w:rsidRDefault="00856146" w:rsidP="005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6146" w:rsidRPr="0058747D" w:rsidRDefault="00856146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74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  <w:p w:rsidR="00856146" w:rsidRPr="0058747D" w:rsidRDefault="00856146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4F44DA" w:rsidRPr="0058747D" w:rsidRDefault="00856146" w:rsidP="0058747D">
            <w:pPr>
              <w:tabs>
                <w:tab w:val="left" w:pos="600"/>
                <w:tab w:val="left" w:pos="660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8747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Судибор</w:t>
            </w:r>
            <w:proofErr w:type="spellEnd"/>
            <w:r w:rsidRPr="0058747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А.А.                   </w:t>
            </w:r>
          </w:p>
        </w:tc>
        <w:tc>
          <w:tcPr>
            <w:tcW w:w="2674" w:type="dxa"/>
            <w:vMerge/>
          </w:tcPr>
          <w:p w:rsidR="004F44DA" w:rsidRPr="0058747D" w:rsidRDefault="004F44DA" w:rsidP="0058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3DE3" w:rsidRPr="0058747D" w:rsidRDefault="00823DE3" w:rsidP="00F13D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47D" w:rsidRDefault="00F24F4F" w:rsidP="005874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747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 У</w:t>
      </w:r>
      <w:r w:rsidR="002D2B02" w:rsidRPr="0058747D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gramEnd"/>
      <w:r w:rsidR="002D2B02" w:rsidRP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Н.Н. Нестерчук</w:t>
      </w:r>
      <w:bookmarkStart w:id="1" w:name="_GoBack"/>
      <w:bookmarkEnd w:id="1"/>
      <w:r w:rsidR="002D2B02" w:rsidRPr="005874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               </w:t>
      </w:r>
    </w:p>
    <w:p w:rsidR="0058747D" w:rsidRPr="0058747D" w:rsidRDefault="0058747D" w:rsidP="0058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8747D" w:rsidRDefault="0058747D" w:rsidP="0058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58747D" w:rsidRPr="0058747D" w:rsidRDefault="0058747D" w:rsidP="0058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учебной работе</w:t>
      </w:r>
    </w:p>
    <w:p w:rsidR="0058747D" w:rsidRPr="0058747D" w:rsidRDefault="0058747D" w:rsidP="0058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__________А.Н. Фролова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747D" w:rsidRPr="0058747D" w:rsidRDefault="0058747D" w:rsidP="0058747D">
      <w:pPr>
        <w:ind w:left="1260"/>
        <w:rPr>
          <w:rFonts w:ascii="Times New Roman" w:hAnsi="Times New Roman" w:cs="Times New Roman"/>
          <w:sz w:val="28"/>
          <w:szCs w:val="28"/>
        </w:rPr>
      </w:pPr>
    </w:p>
    <w:p w:rsidR="0058747D" w:rsidRPr="0058747D" w:rsidRDefault="0058747D" w:rsidP="002D2B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B02" w:rsidRPr="0058747D" w:rsidRDefault="002D2B02" w:rsidP="002D2B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47D" w:rsidRDefault="0058747D" w:rsidP="002D2B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DD7" w:rsidRPr="0058747D" w:rsidRDefault="002D2B02" w:rsidP="002D2B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856146" w:rsidRPr="0058747D" w:rsidRDefault="00856146" w:rsidP="00856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D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</w:t>
      </w: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9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1. Горбунова, М. Б. Формирование и оценка функциональной грамотности: подготовка к национальному исследованию качества образования / </w:t>
      </w:r>
      <w:proofErr w:type="gramStart"/>
      <w:r w:rsidRPr="0058747D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58747D">
        <w:rPr>
          <w:rFonts w:ascii="Times New Roman" w:hAnsi="Times New Roman" w:cs="Times New Roman"/>
          <w:sz w:val="28"/>
          <w:szCs w:val="28"/>
        </w:rPr>
        <w:t xml:space="preserve">Б. Горбунова, В. И. Короткевич //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– 2023. – № 9. – С. 5–11. 2. Горбунова, М. Б. Некоторые результаты участия Республики Беларусь в исследовании PISA–2018 по математической грамотности / М. Б. Горбунова //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>. – 2021. – № 6. – С. 5–14.</w:t>
      </w:r>
    </w:p>
    <w:p w:rsidR="00E21EB9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 3. Концептуальные основания формирования функциональной грамотности учащихся в воспитательном процессе учреждений общего среднего образования / В. Г.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, Глинский А. А.,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Курбыко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 З. С., Новик С.Н. //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>. наука и образование. – 2023. – № 1. – С. 6–13; № 2. – С. 5–11. (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репозиторий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1EB9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4. Зенько, С. И. Методические рекомендации учителю по повышению эффективности реализации межпредметных связей при изучении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 понятий информатики и математики в школе / С. И. Зенько //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Матэматыка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– 2020. – № 1. </w:t>
      </w:r>
    </w:p>
    <w:p w:rsidR="00E21EB9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Русецкий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747D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Pr="0058747D">
        <w:rPr>
          <w:rFonts w:ascii="Times New Roman" w:hAnsi="Times New Roman" w:cs="Times New Roman"/>
          <w:sz w:val="28"/>
          <w:szCs w:val="28"/>
        </w:rPr>
        <w:t xml:space="preserve">Ф. Формирование функциональной грамотности как научная и образовательная проблема / В. Ф.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Русецкий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, О. В. Зеленко //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>. – 2020. – № 9. – С. 15–22; № 10. – С. 5 –13; № 11. – С. 5–13. (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репозиторий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1EB9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, В. Г. Концептуальные основания формирования функциональной грамотности учащихся в воспитательном процессе учреждений общего среднего образования / </w:t>
      </w:r>
      <w:proofErr w:type="gramStart"/>
      <w:r w:rsidRPr="0058747D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Pr="0058747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, А. А. Глинский, З. С.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Курбыко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, С. Н. Новик //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>. наука и образование. – 2023. – № 1. – С. 6–13; № 2. – С. 5–11. (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репозиторий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83856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7. Хуторской, А. В. Ключевые компетентности как компонент личностно-ориентированной парадигмы образования / А. В. Хуторской // Народное образование. – 2003. – № 2.</w:t>
      </w:r>
      <w:r w:rsidR="00783856" w:rsidRPr="0058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9" w:rsidRPr="0058747D" w:rsidRDefault="00E21EB9" w:rsidP="00856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243B1D" w:rsidRPr="0058747D" w:rsidRDefault="00243B1D" w:rsidP="00856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46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1. Об изменении Кодекса Республики Беларусь об образовании: Закон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Беларусь, 14 января 2022 г. №154-З [Электронный ресурс] // Нац. реестр правовых актов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Беларусь — 31.01.2022, 2/2874. // Нац. правовой интернет-портал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Беларусь [Электронный ресурс]. https://clck.ru/3CqqcT – Дата </w:t>
      </w:r>
      <w:proofErr w:type="gramStart"/>
      <w:r w:rsidRPr="0058747D">
        <w:rPr>
          <w:rFonts w:ascii="Times New Roman" w:hAnsi="Times New Roman" w:cs="Times New Roman"/>
          <w:sz w:val="28"/>
          <w:szCs w:val="28"/>
        </w:rPr>
        <w:t>доступа:30.08.2024</w:t>
      </w:r>
      <w:proofErr w:type="gramEnd"/>
      <w:r w:rsidRPr="00587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146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2. Концепция непрерывного воспитания детей и учащейся молодежи. Утверждена Постановлением Министерства образования Республики Беларусь 15 июля 2015 № 82 // Нац. правовой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интернетпортал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Беларусь [Электронный ресурс]. – Режим доступа: https://clck.ru/3CqqZh/– Дата </w:t>
      </w:r>
      <w:proofErr w:type="gramStart"/>
      <w:r w:rsidRPr="0058747D">
        <w:rPr>
          <w:rFonts w:ascii="Times New Roman" w:hAnsi="Times New Roman" w:cs="Times New Roman"/>
          <w:sz w:val="28"/>
          <w:szCs w:val="28"/>
        </w:rPr>
        <w:t>доступа:30.08.2024</w:t>
      </w:r>
      <w:proofErr w:type="gramEnd"/>
      <w:r w:rsidRPr="00587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146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3. Об утверждении образовательных стандартов общего среднего образования. Постановление Министерства образования Республики Беларусь от 26.12.2018 № 125 // Нац. правовой интернет-портал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. Беларусь [Электронный ресурс]. https://adu.by/Педагогам/Нормативные правовые документы. Режим </w:t>
      </w:r>
      <w:proofErr w:type="gramStart"/>
      <w:r w:rsidRPr="0058747D">
        <w:rPr>
          <w:rFonts w:ascii="Times New Roman" w:hAnsi="Times New Roman" w:cs="Times New Roman"/>
          <w:sz w:val="28"/>
          <w:szCs w:val="28"/>
        </w:rPr>
        <w:t>доступа:30.08.2024</w:t>
      </w:r>
      <w:proofErr w:type="gramEnd"/>
      <w:r w:rsidRPr="0058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9" w:rsidRPr="0058747D" w:rsidRDefault="00E21EB9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4. Постановление Совета Министров Республики Беларусь 30 ноября 2021 г.№683.О концепции развития образования Республики Беларусь до 2030 года. Портал Министерства </w:t>
      </w:r>
      <w:proofErr w:type="spellStart"/>
      <w:r w:rsidRPr="0058747D">
        <w:rPr>
          <w:rFonts w:ascii="Times New Roman" w:hAnsi="Times New Roman" w:cs="Times New Roman"/>
          <w:sz w:val="28"/>
          <w:szCs w:val="28"/>
        </w:rPr>
        <w:t>образованния</w:t>
      </w:r>
      <w:proofErr w:type="spellEnd"/>
      <w:r w:rsidRPr="0058747D">
        <w:rPr>
          <w:rFonts w:ascii="Times New Roman" w:hAnsi="Times New Roman" w:cs="Times New Roman"/>
          <w:sz w:val="28"/>
          <w:szCs w:val="28"/>
        </w:rPr>
        <w:t xml:space="preserve"> Республики Беларусь [Электронный ресурс]. – Режим доступа: https://adu.by/Педагогам/Нормативные правовые документы. – Дата</w:t>
      </w: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46" w:rsidRPr="0058747D" w:rsidRDefault="00856146" w:rsidP="00856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D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ресурсы</w:t>
      </w:r>
    </w:p>
    <w:p w:rsidR="00243B1D" w:rsidRPr="0058747D" w:rsidRDefault="00243B1D" w:rsidP="00856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1. Национальный образовательный портал [Электронный ресурс] – Режим доступа: https://adu.by/Главная/Общее среднее образование/ Образовательный процесс 2024/2025 учебный год – Дата доступа: 30.08.2024. </w:t>
      </w: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2. Официальный сайт Республики Беларусь – Режим доступа: https://www.belarus.by – Дата доступа: 30.08.2024. </w:t>
      </w: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3. Национальный правовой Интернет-портал Республики Беларусь – Режим доступа: https://pravo.by – Дата доступа: 30.08.2024. </w:t>
      </w: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 xml:space="preserve">4. Единый информационно-образовательный ресурс. [Электронный ресурс] – Режим доступа: https://eior.by/obrazovanie/obshchee-srednee/index.php – Дата доступа: 30.08.2024. </w:t>
      </w: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7D">
        <w:rPr>
          <w:rFonts w:ascii="Times New Roman" w:hAnsi="Times New Roman" w:cs="Times New Roman"/>
          <w:sz w:val="28"/>
          <w:szCs w:val="28"/>
        </w:rPr>
        <w:t>5. Официальный сайт Академии образования – Режим доступа: https://akademy.by – Дата доступа: 30.08.2024.</w:t>
      </w:r>
    </w:p>
    <w:p w:rsidR="00856146" w:rsidRPr="0058747D" w:rsidRDefault="00856146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9B" w:rsidRPr="0058747D" w:rsidRDefault="00243B1D" w:rsidP="00F9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47D">
        <w:rPr>
          <w:rFonts w:ascii="Times New Roman" w:hAnsi="Times New Roman" w:cs="Times New Roman"/>
          <w:b/>
          <w:bCs/>
          <w:sz w:val="28"/>
          <w:szCs w:val="28"/>
        </w:rPr>
        <w:t>Перечень научно-методических публикаций по вопросам формирования функциональной грамотности учащихся</w:t>
      </w:r>
    </w:p>
    <w:p w:rsidR="00B601CF" w:rsidRPr="0058747D" w:rsidRDefault="00B601CF" w:rsidP="00F9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3898"/>
      </w:tblGrid>
      <w:tr w:rsidR="00F9139B" w:rsidRPr="0058747D" w:rsidTr="00B601CF">
        <w:trPr>
          <w:trHeight w:val="540"/>
        </w:trPr>
        <w:tc>
          <w:tcPr>
            <w:tcW w:w="14746" w:type="dxa"/>
            <w:gridSpan w:val="2"/>
            <w:shd w:val="clear" w:color="auto" w:fill="FFFFFF" w:themeFill="background1"/>
          </w:tcPr>
          <w:p w:rsidR="00F9139B" w:rsidRPr="0058747D" w:rsidRDefault="00F9139B" w:rsidP="005C21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ЕСТЕСТВЕННОНАУЧНАЯ ГРАМОТНОСТЬ</w:t>
            </w:r>
          </w:p>
        </w:tc>
      </w:tr>
      <w:tr w:rsidR="00F9139B" w:rsidRPr="0058747D" w:rsidTr="00B601CF">
        <w:trPr>
          <w:trHeight w:val="895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Пентин</w:t>
            </w:r>
            <w:proofErr w:type="spellEnd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А.Ю.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подходы к оценке естественнонаучной грамотности /      А.Ю.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Пентин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, Г.Г. Никифоров, Е.А. Никишова // Отечественная и зарубежная педагогика. – 2019. Т. 1, – № 4 (61). – С. 80</w:t>
            </w:r>
            <w:r w:rsidRPr="00587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https://rcneftegorck.ru/wp-content/uploads/2020/11/oczenka-estestvennonauchnoj-gramotnosti.pdf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статье дана краткая характеристика естественнонаучной грамотности и обоснована актуальность задач повышения ее уровня у российских учащихся. Предложены подходы к разработке заданий по формированию и оцениванию естественнонаучной грамотности для учащихся 5-х и 7-х классов. 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Пентин</w:t>
            </w:r>
            <w:proofErr w:type="spellEnd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А.Ю.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Формы использования заданий по оцениванию и формированию естественнонаучной грамотности в учебном процессе / А.Ю. </w:t>
            </w:r>
            <w:proofErr w:type="spellStart"/>
            <w:proofErr w:type="gram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Пентин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Г.Г. Никифоров, Е.А. Никишова // Отечественная и зарубежная педагогика. – 2019. Т. 1, – № 4 (61). – С. 177–195.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http://ozp.instrao.ru/images/nomera/OZP_4.1.61.2019.pdf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статье рассматриваются методические подходы использования заданий по естественнонаучной грамотности в учебном процессе. Эти подходы анализируются на примере двух блоков заданий, один из которых предназначен для учащихся 5-х классов, а другой для учащихся 7-х классов. Предлагаются две основные формы использования этих заданий: в целях диагностики и в целях формирования компетенций, относящихся к </w:t>
            </w: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естественнонаучной грамотности. 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Машиньян</w:t>
            </w:r>
            <w:proofErr w:type="spellEnd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А.А.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Демонстрационно-информационные комплексы школьного курса физики как средства формирования естественнонаучной грамотности [Текст] / А.А.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Машиньян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, Н.В. Кочергина // Перспективы науки и образования. – 2016. – № 5 (23). – С. 36–45.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https://cyberleninka.ru/article/n/demonstratsionno-informatsionnye-kompleksy-shkolnogo-kursa-fiziki-kak-sredstva-formirovaniya-estestvennonauchnoy-gramotnosti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статье предложена методика создания демонстрационно-информационных комплексов курса физики, направленных на формирование и развитие у учащихся естественнонаучной грамотности. Методика реализуется в три этапа: выделение когнитивных барьеров темы, создание комплексных средств обучения и создание демонстрационно-информационных комплексов. 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естественнонаучного образования в российской школе по результатам международных исследований TIMSS и PISA </w:t>
            </w:r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Пентин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[и др.]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// Вопросы образования. – 2018. –  № 1. – С. 79–109.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https://vo.hse.ru/article/view/15756/14992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статье анализируются особенности естественнонаучного образования в российской школе и то, как они проявились в международных исследованиях: снижение достижений учащихся по естествознанию при переходе из начальной в основную школу и резкое различие результатов учащихся 8–9</w:t>
            </w: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noBreakHyphen/>
              <w:t>х классов в TIMSS и PISA. Выявлено, что высокие результаты четвероклассников в исследовании TIMSS в значительной степени связаны с активностью учащихся в приобретении естественнонаучных знаний вне школы. Резкая разница между результатами учащихся 8–9</w:t>
            </w: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noBreakHyphen/>
              <w:t xml:space="preserve">х классов в исследованиях TIMSS и PISA объясняется, с одной стороны, близким соответствием российских программ естественнонаучных предметов концепции TIMSS и их значительным расхождением с концепцией PISA, поскольку российские программы мало ориентированы на формирование естественнонаучной грамотности учащихся. 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7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Естественно-научная грамотность: от PISA к региональному мониторингу /        П.О. Краснов [и др.] // Отечественная и зарубежная педагогика. – 2020. – № 2 (70). – С. 275–288.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https://cyberleninka.ru/article/n/estestvenno-nauchnaya-gramotnost-ot-pisa-k-regionalnomu-monitoringu/viewer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статье отмечается, что достижения российских школьников в области естественно-научной грамотности, </w:t>
            </w: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оценка которых осуществляется в рамках PISA, на протяжении всех циклов остаются невысокими. Приводится описание краевой диагностической работы (КДР) по естественнонаучной грамотности, которая призвана ориентировать современную школу на новый тип результатов. 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Никишова, Е.А.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обучающихся читательской и естественнонаучной грамотности при изучении биологии / Е.А. Никишова // Педагогические измерения. – 2019. – № 2. – С. 72–78.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https://cyberleninka.ru/article/n/formirovanie-u-obuchayuschihsya-chitatelskoy-i-estestvennonauchnoy-gramotnosti-pri-izuchenii-biologii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статье рассматривается проблема формирования метапредметных умений, разработки и включения в учебный процесс тестовых заданий, направленных на работу с учебными текстами. Предлагаются методические приёмы работы с тестовыми заданиями на базе учебных текстов на уроках как средство достижения функциональной грамотности в процессе урока.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Шимко</w:t>
            </w:r>
            <w:proofErr w:type="spellEnd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Е.А.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формирования и диагностики отдельных компонентов естественнонаучной грамотности учащихся / Е.А.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// Школьные технологии. – 2019. – № 2. – С. 102–112.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58747D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F9139B" w:rsidRPr="0058747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usloviya-formirovaniya-i-diagnostiki-otdelnyh-komponentov-estestvennonauchnoy-gramotnosti-uchaschihsya.pdf</w:t>
              </w:r>
            </w:hyperlink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статье описаны условия формирования отдельных компонентов естественнонаучной грамотности учащихся. Приводятся параметры диагностики для оценки уровня </w:t>
            </w:r>
            <w:proofErr w:type="spellStart"/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сформированности</w:t>
            </w:r>
            <w:proofErr w:type="spellEnd"/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естественнонаучной грамотности учащихся при изучении объектов и явлений окружающего мира.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F9139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Пурышева</w:t>
            </w:r>
            <w:proofErr w:type="spellEnd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Н.С.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экспериментальных умений школьников Сингапура при обучении физике / Н.С.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Пурышева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, К.П. Доценко // Наука и школа. – 2017. – № 2. – С. 46–52.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http://mpgu.su/wp-content/uploads/2017/01/Puryisheva-Dotsenko-NiSh2017-2.pdf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статье рассмотрена методика формирования у школьников Сингапура экспериментальных умений в процессе выполнения фронтальных лабораторных работ. Описаны основные отличия этой методики от той, которая используется в российской школе. Рассмотрены особенности структуры и содержание пособия для учащихся по лабораторному эксперименту.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5C21BB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Лисичкин</w:t>
            </w:r>
            <w:proofErr w:type="spellEnd"/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Г.В.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Школьное естественнонаучное образование в советское и постсоветское время: тенденции и перспективы / Г.В.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И.А.Леенсон</w:t>
            </w:r>
            <w:proofErr w:type="spellEnd"/>
            <w:proofErr w:type="gram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;  Современные</w:t>
            </w:r>
            <w:proofErr w:type="gram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тенденции развития естественнонаучного 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образования: фундаментальное университетское образование / Под общей ред. В.В. Лунина. – М.: Изд-во МГУ. – 2010. – С. 37–52.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https://www.chem.msu.ru/rus/books/2010/lunin/lisichkin.pdf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статье проанализировано состояние школьного образования по естественно-научным предметам в советское время с 1950-х гг. и в постсоветский период. Подведены некоторые итоги реформирования системы среднего образования в России. Предлагается комплекс простых, но эффективных мер по улучшению школьного естественно-научного образования.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 w:val="restart"/>
          </w:tcPr>
          <w:p w:rsidR="00F9139B" w:rsidRPr="0058747D" w:rsidRDefault="00F9139B" w:rsidP="005C2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Заграничная, Н. А.</w:t>
            </w: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метод познания в школьном естественнонаучном образовании: обучение химии и биологии /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Н.А.Заграничная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, Л.А. Паршутина, А.Ю. </w:t>
            </w:r>
            <w:proofErr w:type="spellStart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Пентин</w:t>
            </w:r>
            <w:proofErr w:type="spellEnd"/>
            <w:r w:rsidRPr="0058747D">
              <w:rPr>
                <w:rFonts w:ascii="Times New Roman" w:hAnsi="Times New Roman" w:cs="Times New Roman"/>
                <w:sz w:val="28"/>
                <w:szCs w:val="28"/>
              </w:rPr>
              <w:t xml:space="preserve"> // Отечественная и зарубежная педагогика. – 2019. Т. 1, – № 1 (57). – С. 6–27.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sz w:val="28"/>
                <w:szCs w:val="28"/>
              </w:rPr>
              <w:t>https://cyberleninka.ru/article/n/nauchnyy-metod-poznaniya-v-shkolnom-estestvennonauchnom-obrazovanii-obuchenie-himii-i-biologii</w:t>
            </w:r>
          </w:p>
        </w:tc>
      </w:tr>
      <w:tr w:rsidR="00F9139B" w:rsidRPr="0058747D" w:rsidTr="00B601CF">
        <w:trPr>
          <w:trHeight w:val="170"/>
        </w:trPr>
        <w:tc>
          <w:tcPr>
            <w:tcW w:w="848" w:type="dxa"/>
            <w:vMerge/>
          </w:tcPr>
          <w:p w:rsidR="00F9139B" w:rsidRPr="0058747D" w:rsidRDefault="00F9139B" w:rsidP="005C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8" w:type="dxa"/>
          </w:tcPr>
          <w:p w:rsidR="00F9139B" w:rsidRPr="0058747D" w:rsidRDefault="00F9139B" w:rsidP="005C21B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статье прослеживается история зарождения и применения научного метода познания при изучении естественнонаучных учебных дисциплин начиная с периода Российской империи по настоящее время. В методиках преподавания учебных предметов «Химия» и «Биология» научный метод познания более известен как исследовательский метод обучения. Исторический опыт российской методической науки авторы рассматривают как один из факторов модернизации современного процесса обучения химии и биологии в средней школе. В данном контексте представлены направления совершенствования методик обучения химии и биологии на основе научного метода познания. </w:t>
            </w:r>
          </w:p>
        </w:tc>
      </w:tr>
    </w:tbl>
    <w:p w:rsidR="00F9139B" w:rsidRPr="0058747D" w:rsidRDefault="00F9139B" w:rsidP="00F9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39B" w:rsidRPr="0058747D" w:rsidRDefault="00F9139B" w:rsidP="0078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39B" w:rsidRPr="0058747D" w:rsidSect="0058747D">
      <w:pgSz w:w="16838" w:h="11906" w:orient="landscape"/>
      <w:pgMar w:top="426" w:right="56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D90CB0"/>
    <w:multiLevelType w:val="hybridMultilevel"/>
    <w:tmpl w:val="AABA4794"/>
    <w:lvl w:ilvl="0" w:tplc="662E5F6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2127A"/>
    <w:multiLevelType w:val="hybridMultilevel"/>
    <w:tmpl w:val="9474C934"/>
    <w:lvl w:ilvl="0" w:tplc="3BAE0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51E5A"/>
    <w:multiLevelType w:val="hybridMultilevel"/>
    <w:tmpl w:val="C888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B4530"/>
    <w:multiLevelType w:val="hybridMultilevel"/>
    <w:tmpl w:val="D1228E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E6B20"/>
    <w:multiLevelType w:val="hybridMultilevel"/>
    <w:tmpl w:val="B36E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11"/>
    <w:rsid w:val="00004943"/>
    <w:rsid w:val="00035AE8"/>
    <w:rsid w:val="0004743C"/>
    <w:rsid w:val="000524AC"/>
    <w:rsid w:val="000526AA"/>
    <w:rsid w:val="00080FFA"/>
    <w:rsid w:val="00083E2D"/>
    <w:rsid w:val="000D2651"/>
    <w:rsid w:val="00102B02"/>
    <w:rsid w:val="00111C8C"/>
    <w:rsid w:val="00122916"/>
    <w:rsid w:val="00153FFC"/>
    <w:rsid w:val="0017587E"/>
    <w:rsid w:val="001B645B"/>
    <w:rsid w:val="001B70CC"/>
    <w:rsid w:val="001E777F"/>
    <w:rsid w:val="00200095"/>
    <w:rsid w:val="00243B1D"/>
    <w:rsid w:val="00243F41"/>
    <w:rsid w:val="002960FF"/>
    <w:rsid w:val="002A0D8E"/>
    <w:rsid w:val="002B2B52"/>
    <w:rsid w:val="002C05C7"/>
    <w:rsid w:val="002D2B02"/>
    <w:rsid w:val="0031206F"/>
    <w:rsid w:val="00331E04"/>
    <w:rsid w:val="00344BF1"/>
    <w:rsid w:val="003F3141"/>
    <w:rsid w:val="003F3CF8"/>
    <w:rsid w:val="004317DA"/>
    <w:rsid w:val="00451112"/>
    <w:rsid w:val="00461AE1"/>
    <w:rsid w:val="00464C67"/>
    <w:rsid w:val="0049582C"/>
    <w:rsid w:val="004F44DA"/>
    <w:rsid w:val="00534757"/>
    <w:rsid w:val="0058747D"/>
    <w:rsid w:val="00607937"/>
    <w:rsid w:val="00651BF4"/>
    <w:rsid w:val="006752E8"/>
    <w:rsid w:val="006F4A11"/>
    <w:rsid w:val="00751F35"/>
    <w:rsid w:val="00783856"/>
    <w:rsid w:val="007A1F05"/>
    <w:rsid w:val="00823DE3"/>
    <w:rsid w:val="00827EDC"/>
    <w:rsid w:val="0083742D"/>
    <w:rsid w:val="0084035B"/>
    <w:rsid w:val="00845B2C"/>
    <w:rsid w:val="00856146"/>
    <w:rsid w:val="00863409"/>
    <w:rsid w:val="00864BEC"/>
    <w:rsid w:val="008837C3"/>
    <w:rsid w:val="008A1FF0"/>
    <w:rsid w:val="008D21DB"/>
    <w:rsid w:val="00945315"/>
    <w:rsid w:val="00995544"/>
    <w:rsid w:val="009C3AFD"/>
    <w:rsid w:val="00A03FD1"/>
    <w:rsid w:val="00A63B6F"/>
    <w:rsid w:val="00A6403E"/>
    <w:rsid w:val="00AB2A85"/>
    <w:rsid w:val="00AC3056"/>
    <w:rsid w:val="00B2599E"/>
    <w:rsid w:val="00B601CF"/>
    <w:rsid w:val="00B65425"/>
    <w:rsid w:val="00B713AA"/>
    <w:rsid w:val="00BA4C64"/>
    <w:rsid w:val="00BD3C2D"/>
    <w:rsid w:val="00BE3A08"/>
    <w:rsid w:val="00C04AC6"/>
    <w:rsid w:val="00C3579B"/>
    <w:rsid w:val="00C447C1"/>
    <w:rsid w:val="00C75040"/>
    <w:rsid w:val="00C9321C"/>
    <w:rsid w:val="00CA01DA"/>
    <w:rsid w:val="00CD6DF5"/>
    <w:rsid w:val="00CE6994"/>
    <w:rsid w:val="00CF29E5"/>
    <w:rsid w:val="00D62391"/>
    <w:rsid w:val="00D67D96"/>
    <w:rsid w:val="00D90D48"/>
    <w:rsid w:val="00DA4257"/>
    <w:rsid w:val="00DB0FB6"/>
    <w:rsid w:val="00E21EB9"/>
    <w:rsid w:val="00E22D6E"/>
    <w:rsid w:val="00E80DD7"/>
    <w:rsid w:val="00E91A2E"/>
    <w:rsid w:val="00ED734B"/>
    <w:rsid w:val="00EE1EEC"/>
    <w:rsid w:val="00F13DAF"/>
    <w:rsid w:val="00F24F4F"/>
    <w:rsid w:val="00F3308E"/>
    <w:rsid w:val="00F9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212F-5E66-474E-9C24-C28662A1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742D"/>
    <w:pPr>
      <w:ind w:left="720"/>
      <w:contextualSpacing/>
    </w:pPr>
  </w:style>
  <w:style w:type="paragraph" w:customStyle="1" w:styleId="1">
    <w:name w:val="Обычный (веб)1"/>
    <w:basedOn w:val="a"/>
    <w:next w:val="a7"/>
    <w:uiPriority w:val="99"/>
    <w:rsid w:val="00DA42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90D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ewncpi">
    <w:name w:val="newncpi"/>
    <w:basedOn w:val="a"/>
    <w:rsid w:val="00D90D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rsid w:val="00D90D4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90D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usloviya-formirovaniya-i-diagnostiki-otdelnyh-komponentov-estestvennonauchnoy-gramotnosti-uchaschihs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6403-A3ED-493F-A4D8-06BB8A2C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2022-10-13T06:12:00Z</cp:lastPrinted>
  <dcterms:created xsi:type="dcterms:W3CDTF">2024-10-17T08:59:00Z</dcterms:created>
  <dcterms:modified xsi:type="dcterms:W3CDTF">2024-10-17T08:59:00Z</dcterms:modified>
</cp:coreProperties>
</file>