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BB" w:rsidRDefault="001862BB" w:rsidP="00F64E80">
      <w:pPr>
        <w:spacing w:after="0" w:line="240" w:lineRule="auto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3120" behindDoc="0" locked="0" layoutInCell="1" allowOverlap="1" wp14:anchorId="3482AB1B">
            <wp:simplePos x="0" y="0"/>
            <wp:positionH relativeFrom="column">
              <wp:posOffset>-1079183</wp:posOffset>
            </wp:positionH>
            <wp:positionV relativeFrom="paragraph">
              <wp:posOffset>-691197</wp:posOffset>
            </wp:positionV>
            <wp:extent cx="7376811" cy="990970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811" cy="990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bookmarkEnd w:id="0"/>
    <w:p w:rsidR="0022521B" w:rsidRDefault="007424B1" w:rsidP="00F64E80">
      <w:pPr>
        <w:spacing w:after="0" w:line="240" w:lineRule="auto"/>
        <w:jc w:val="center"/>
      </w:pPr>
      <w:r w:rsidRPr="007424B1">
        <w:lastRenderedPageBreak/>
        <w:t>ГЛАВА 2</w:t>
      </w:r>
    </w:p>
    <w:p w:rsidR="007424B1" w:rsidRDefault="007424B1" w:rsidP="00F64E80">
      <w:pPr>
        <w:spacing w:after="0" w:line="240" w:lineRule="auto"/>
        <w:jc w:val="center"/>
      </w:pPr>
      <w:r w:rsidRPr="007424B1">
        <w:t>ЦЕЛЬ И ЗАДАЧИ</w:t>
      </w:r>
    </w:p>
    <w:p w:rsidR="0022521B" w:rsidRPr="007424B1" w:rsidRDefault="0022521B" w:rsidP="00F64E80">
      <w:pPr>
        <w:spacing w:after="0" w:line="240" w:lineRule="auto"/>
        <w:jc w:val="both"/>
      </w:pPr>
    </w:p>
    <w:p w:rsidR="007424B1" w:rsidRDefault="007424B1" w:rsidP="00F64E80">
      <w:pPr>
        <w:numPr>
          <w:ilvl w:val="1"/>
          <w:numId w:val="6"/>
        </w:numPr>
        <w:jc w:val="both"/>
      </w:pPr>
      <w:r w:rsidRPr="007424B1">
        <w:t xml:space="preserve">Основная цель деятельности ИТЦ - формирование у учащихся </w:t>
      </w:r>
      <w:r w:rsidR="002B6B3E">
        <w:br/>
      </w:r>
      <w:r w:rsidRPr="007424B1">
        <w:t xml:space="preserve">естественно-математического и инженерно-технического мышления, </w:t>
      </w:r>
      <w:r w:rsidR="002B6B3E">
        <w:br/>
      </w:r>
      <w:r w:rsidRPr="007424B1">
        <w:t xml:space="preserve">вовлечение их в техническое творчество посредством организации </w:t>
      </w:r>
      <w:r w:rsidR="002B6B3E">
        <w:br/>
      </w:r>
      <w:r w:rsidRPr="007424B1">
        <w:t>проектной и учебно-исследовательской деятельности, выработка устойчивой мотивации к получению инженерных специальностей.</w:t>
      </w:r>
    </w:p>
    <w:p w:rsidR="007424B1" w:rsidRPr="007424B1" w:rsidRDefault="007424B1" w:rsidP="00F64E80">
      <w:pPr>
        <w:numPr>
          <w:ilvl w:val="1"/>
          <w:numId w:val="6"/>
        </w:numPr>
        <w:jc w:val="both"/>
      </w:pPr>
      <w:r w:rsidRPr="007424B1">
        <w:t>Задачи ИТЦ:</w:t>
      </w:r>
    </w:p>
    <w:p w:rsidR="007424B1" w:rsidRPr="007424B1" w:rsidRDefault="007424B1" w:rsidP="00F64E80">
      <w:pPr>
        <w:jc w:val="both"/>
      </w:pPr>
      <w:r w:rsidRPr="007424B1">
        <w:t xml:space="preserve">создание современной предметно-развивающей образовательной среды </w:t>
      </w:r>
      <w:r w:rsidR="002B6B3E">
        <w:br/>
      </w:r>
      <w:r w:rsidRPr="007424B1">
        <w:t xml:space="preserve">для интеграции </w:t>
      </w:r>
      <w:r w:rsidR="0022521B">
        <w:t>STEM-подхода в о</w:t>
      </w:r>
      <w:r w:rsidRPr="007424B1">
        <w:t>бразовательный процесс;</w:t>
      </w:r>
    </w:p>
    <w:p w:rsidR="007424B1" w:rsidRPr="007424B1" w:rsidRDefault="007424B1" w:rsidP="00F64E80">
      <w:pPr>
        <w:jc w:val="both"/>
      </w:pPr>
      <w:r w:rsidRPr="007424B1">
        <w:t>концентрация материально-технических, учебно-методических, кадровых</w:t>
      </w:r>
      <w:r w:rsidR="00C37240">
        <w:br/>
      </w:r>
      <w:r w:rsidRPr="007424B1">
        <w:t xml:space="preserve"> ресурсов для повышения эффективности использования STEM- подхода </w:t>
      </w:r>
      <w:r w:rsidR="00C37240">
        <w:br/>
      </w:r>
      <w:r w:rsidRPr="007424B1">
        <w:t>в решении приоритетных образовательных и воспитательных задач;</w:t>
      </w:r>
    </w:p>
    <w:p w:rsidR="007424B1" w:rsidRPr="007424B1" w:rsidRDefault="007424B1" w:rsidP="00F64E80">
      <w:pPr>
        <w:jc w:val="both"/>
      </w:pPr>
      <w:r w:rsidRPr="007424B1">
        <w:t>формирование информационной и технологической культуры учащихся;</w:t>
      </w:r>
    </w:p>
    <w:p w:rsidR="007424B1" w:rsidRPr="007424B1" w:rsidRDefault="007424B1" w:rsidP="00F64E80">
      <w:pPr>
        <w:jc w:val="both"/>
      </w:pPr>
      <w:r w:rsidRPr="007424B1">
        <w:t>увеличение  количества   учащихся,   проявляющих   интерес   к техническому творчеству, современным технологиям, исследовательской деятельности;</w:t>
      </w:r>
    </w:p>
    <w:p w:rsidR="007424B1" w:rsidRPr="007424B1" w:rsidRDefault="007424B1" w:rsidP="00F64E80">
      <w:pPr>
        <w:jc w:val="both"/>
      </w:pPr>
      <w:r w:rsidRPr="007424B1">
        <w:t xml:space="preserve">поддержка технической и инженерной составляющих в дополнительном </w:t>
      </w:r>
      <w:r w:rsidR="002B6B3E">
        <w:br/>
      </w:r>
      <w:r w:rsidRPr="007424B1">
        <w:t>образовании школьников, обеспечение инновационного характера деятельности объединений по интересам различных профилей;</w:t>
      </w:r>
    </w:p>
    <w:p w:rsidR="007424B1" w:rsidRPr="007424B1" w:rsidRDefault="007424B1" w:rsidP="00F64E80">
      <w:pPr>
        <w:jc w:val="both"/>
      </w:pPr>
      <w:r w:rsidRPr="007424B1">
        <w:t xml:space="preserve">обеспечение доступа к современному оборудованию и инновационным </w:t>
      </w:r>
      <w:r w:rsidR="002B6B3E">
        <w:br/>
      </w:r>
      <w:r w:rsidRPr="007424B1">
        <w:t>учебным программам для учащихся региона, в котором функционирует ИТЦ;</w:t>
      </w:r>
    </w:p>
    <w:p w:rsidR="007424B1" w:rsidRPr="007424B1" w:rsidRDefault="007424B1" w:rsidP="00F64E80">
      <w:pPr>
        <w:jc w:val="both"/>
      </w:pPr>
      <w:r w:rsidRPr="007424B1">
        <w:t xml:space="preserve">мотивация учащихся к продолжению образования в технической </w:t>
      </w:r>
      <w:r w:rsidR="002B6B3E">
        <w:br/>
      </w:r>
      <w:r w:rsidRPr="007424B1">
        <w:t>и инженерной сферах, раннее знакомство с инновационными технологиями;</w:t>
      </w:r>
    </w:p>
    <w:p w:rsidR="007424B1" w:rsidRPr="007424B1" w:rsidRDefault="007424B1" w:rsidP="00F64E80">
      <w:pPr>
        <w:jc w:val="both"/>
      </w:pPr>
      <w:r w:rsidRPr="007424B1">
        <w:t xml:space="preserve">совершенствование форм и методов работы с высокомотивированными </w:t>
      </w:r>
      <w:r w:rsidR="002B6B3E">
        <w:br/>
      </w:r>
      <w:r w:rsidRPr="007424B1">
        <w:t>учащимися по подготовке к олимпиадам, конкурсам технического творчества и исследовательских работ;</w:t>
      </w:r>
    </w:p>
    <w:p w:rsidR="007424B1" w:rsidRPr="007424B1" w:rsidRDefault="007424B1" w:rsidP="00F64E80">
      <w:pPr>
        <w:jc w:val="both"/>
      </w:pPr>
      <w:r w:rsidRPr="007424B1">
        <w:t xml:space="preserve">выявление одаренных учащихся, подготовка к прохождению отбора </w:t>
      </w:r>
      <w:r w:rsidR="002B6B3E">
        <w:br/>
      </w:r>
      <w:r w:rsidRPr="007424B1">
        <w:t xml:space="preserve">и обучения в УО «Национальный детский технопарк» для эффективного </w:t>
      </w:r>
      <w:r w:rsidR="00C37240">
        <w:br/>
      </w:r>
      <w:r w:rsidRPr="007424B1">
        <w:t>построения их профессиональной траектории;</w:t>
      </w:r>
    </w:p>
    <w:p w:rsidR="007424B1" w:rsidRPr="007424B1" w:rsidRDefault="007424B1" w:rsidP="00F64E80">
      <w:pPr>
        <w:jc w:val="both"/>
      </w:pPr>
      <w:r w:rsidRPr="007424B1">
        <w:t xml:space="preserve">создание условий для адаптации и внедрения инновационных программ, </w:t>
      </w:r>
      <w:r w:rsidR="002B6B3E">
        <w:br/>
      </w:r>
      <w:r w:rsidRPr="007424B1">
        <w:t xml:space="preserve">созданных при участии ведущих промышленных и исследовательских </w:t>
      </w:r>
      <w:r w:rsidR="002B6B3E">
        <w:br/>
      </w:r>
      <w:r w:rsidRPr="007424B1">
        <w:t>предприятий и\или организаций в программы дополнительного образования детей и молодежи;</w:t>
      </w:r>
    </w:p>
    <w:p w:rsidR="007424B1" w:rsidRPr="007424B1" w:rsidRDefault="007424B1" w:rsidP="00F64E80">
      <w:pPr>
        <w:jc w:val="both"/>
      </w:pPr>
      <w:r w:rsidRPr="007424B1">
        <w:lastRenderedPageBreak/>
        <w:t xml:space="preserve">повышение уровня предметно-методических компетенций педагогов </w:t>
      </w:r>
      <w:r w:rsidR="002B6B3E">
        <w:br/>
      </w:r>
      <w:r w:rsidRPr="007424B1">
        <w:t xml:space="preserve">по применению активных и интерактивных методов, </w:t>
      </w:r>
      <w:r w:rsidR="00C37240">
        <w:br/>
      </w:r>
      <w:r w:rsidRPr="007424B1">
        <w:t>и</w:t>
      </w:r>
      <w:r w:rsidR="00C37240">
        <w:t xml:space="preserve"> </w:t>
      </w:r>
      <w:r w:rsidR="003D760B">
        <w:t>и</w:t>
      </w:r>
      <w:r w:rsidRPr="007424B1">
        <w:t>нформационно</w:t>
      </w:r>
      <w:r w:rsidR="003D760B">
        <w:t xml:space="preserve"> </w:t>
      </w:r>
      <w:r w:rsidRPr="007424B1">
        <w:t xml:space="preserve">- коммуникационных технологий для формирования </w:t>
      </w:r>
      <w:r w:rsidR="00C37240">
        <w:br/>
      </w:r>
      <w:r w:rsidRPr="007424B1">
        <w:t xml:space="preserve">межпредметных, метапредметных и личностных компетенций учащихся </w:t>
      </w:r>
      <w:r w:rsidR="00C37240">
        <w:br/>
      </w:r>
      <w:r w:rsidRPr="007424B1">
        <w:t>на учебных занятиях;</w:t>
      </w:r>
    </w:p>
    <w:p w:rsidR="007424B1" w:rsidRDefault="007424B1" w:rsidP="00F64E80">
      <w:pPr>
        <w:jc w:val="both"/>
      </w:pPr>
      <w:r w:rsidRPr="007424B1">
        <w:t>организация обучения различных категорий педагогических работников</w:t>
      </w:r>
      <w:r w:rsidR="00C37240">
        <w:br/>
      </w:r>
      <w:r w:rsidRPr="007424B1">
        <w:t xml:space="preserve"> по использованию в практике современного оборудования ИТЦ, </w:t>
      </w:r>
      <w:r w:rsidR="00C37240">
        <w:br/>
      </w:r>
      <w:r w:rsidRPr="007424B1">
        <w:t xml:space="preserve">оперативному овладению перспективным педагогическим опытом, </w:t>
      </w:r>
      <w:r w:rsidR="00C37240">
        <w:br/>
      </w:r>
      <w:r w:rsidRPr="007424B1">
        <w:t>новаторскими методами воспитания;</w:t>
      </w:r>
      <w:r w:rsidR="0022521B">
        <w:t xml:space="preserve"> </w:t>
      </w:r>
      <w:r w:rsidRPr="007424B1">
        <w:t>с</w:t>
      </w:r>
      <w:r w:rsidR="0022521B">
        <w:t xml:space="preserve"> </w:t>
      </w:r>
      <w:r w:rsidRPr="007424B1">
        <w:t>распространение</w:t>
      </w:r>
      <w:r w:rsidR="003D760B">
        <w:t>м</w:t>
      </w:r>
      <w:r w:rsidRPr="007424B1">
        <w:t xml:space="preserve"> эффективного </w:t>
      </w:r>
      <w:r w:rsidR="00C37240">
        <w:br/>
      </w:r>
      <w:r w:rsidRPr="007424B1">
        <w:t>педагогического опыта.</w:t>
      </w:r>
    </w:p>
    <w:p w:rsidR="000178F5" w:rsidRDefault="000178F5" w:rsidP="00120A9D">
      <w:pPr>
        <w:spacing w:after="0" w:line="240" w:lineRule="auto"/>
        <w:jc w:val="center"/>
      </w:pPr>
    </w:p>
    <w:p w:rsidR="007424B1" w:rsidRPr="007424B1" w:rsidRDefault="007424B1" w:rsidP="00120A9D">
      <w:pPr>
        <w:spacing w:after="0" w:line="240" w:lineRule="auto"/>
        <w:jc w:val="center"/>
      </w:pPr>
      <w:r w:rsidRPr="007424B1">
        <w:t>ГЛАВА 3</w:t>
      </w:r>
    </w:p>
    <w:p w:rsidR="007424B1" w:rsidRDefault="007424B1" w:rsidP="00120A9D">
      <w:pPr>
        <w:spacing w:after="0" w:line="240" w:lineRule="auto"/>
        <w:jc w:val="center"/>
      </w:pPr>
      <w:r w:rsidRPr="007424B1">
        <w:t>ОСНОВНЫЕ НАПРАВЛЕНИЯ ДЕЯТЕЛЬНОСТИ ИТЦ</w:t>
      </w:r>
    </w:p>
    <w:p w:rsidR="002B6B3E" w:rsidRPr="007424B1" w:rsidRDefault="002B6B3E" w:rsidP="00120A9D">
      <w:pPr>
        <w:spacing w:after="0" w:line="240" w:lineRule="auto"/>
        <w:jc w:val="center"/>
      </w:pPr>
    </w:p>
    <w:p w:rsidR="007424B1" w:rsidRPr="007424B1" w:rsidRDefault="007424B1" w:rsidP="00F64E80">
      <w:pPr>
        <w:jc w:val="both"/>
      </w:pPr>
      <w:r w:rsidRPr="007424B1">
        <w:t>ИТЦ осуществляет следующие виды и направления деятельности:</w:t>
      </w:r>
    </w:p>
    <w:p w:rsidR="007424B1" w:rsidRPr="007424B1" w:rsidRDefault="007424B1" w:rsidP="00F64E80">
      <w:pPr>
        <w:numPr>
          <w:ilvl w:val="1"/>
          <w:numId w:val="5"/>
        </w:numPr>
        <w:ind w:left="0" w:firstLine="0"/>
        <w:jc w:val="both"/>
      </w:pPr>
      <w:r w:rsidRPr="007424B1">
        <w:t>Образовательная</w:t>
      </w:r>
      <w:r w:rsidR="003D760B">
        <w:t xml:space="preserve"> </w:t>
      </w:r>
      <w:r w:rsidRPr="007424B1">
        <w:tab/>
        <w:t>деятельность</w:t>
      </w:r>
      <w:r w:rsidR="0022521B">
        <w:t xml:space="preserve"> </w:t>
      </w:r>
      <w:r w:rsidRPr="007424B1">
        <w:t>ИТЦ  осуществляется</w:t>
      </w:r>
      <w:r w:rsidR="0022521B">
        <w:t xml:space="preserve"> </w:t>
      </w:r>
      <w:r w:rsidRPr="007424B1">
        <w:t>при</w:t>
      </w:r>
      <w:r w:rsidR="0022521B">
        <w:t xml:space="preserve"> </w:t>
      </w:r>
      <w:r w:rsidRPr="007424B1">
        <w:t>реализации учебных программ основного и дополнительного образования на учебных</w:t>
      </w:r>
      <w:r w:rsidR="002B6B3E">
        <w:br/>
      </w:r>
      <w:r w:rsidRPr="007424B1">
        <w:t xml:space="preserve"> занятиях по учебным предметам естественно-</w:t>
      </w:r>
      <w:r w:rsidR="0022521B" w:rsidRPr="007424B1">
        <w:t>математического</w:t>
      </w:r>
      <w:r w:rsidRPr="007424B1">
        <w:t xml:space="preserve"> направления, факультативных занятиях, во внеурочной деятельности, в объединениях</w:t>
      </w:r>
      <w:r w:rsidR="002B6B3E">
        <w:br/>
      </w:r>
      <w:r w:rsidRPr="007424B1">
        <w:t xml:space="preserve"> по интересам естественно-математического и технического профилей.</w:t>
      </w:r>
    </w:p>
    <w:p w:rsidR="007424B1" w:rsidRPr="007424B1" w:rsidRDefault="007424B1" w:rsidP="00F64E80">
      <w:pPr>
        <w:numPr>
          <w:ilvl w:val="1"/>
          <w:numId w:val="5"/>
        </w:numPr>
        <w:spacing w:after="0" w:line="240" w:lineRule="auto"/>
        <w:ind w:left="0" w:firstLine="0"/>
        <w:jc w:val="both"/>
      </w:pPr>
      <w:r w:rsidRPr="007424B1">
        <w:t>Организационно-методическая деятельность ИТЦ реализуется</w:t>
      </w:r>
      <w:r w:rsidR="002B6B3E">
        <w:br/>
      </w:r>
      <w:r w:rsidRPr="007424B1">
        <w:t xml:space="preserve"> посредством предоставления имеющихся материально-технических, </w:t>
      </w:r>
      <w:r w:rsidR="002B6B3E">
        <w:br/>
      </w:r>
      <w:r w:rsidRPr="007424B1">
        <w:t xml:space="preserve">педагогических, информационных, интеллектуальных, </w:t>
      </w:r>
      <w:proofErr w:type="spellStart"/>
      <w:r w:rsidRPr="007424B1">
        <w:t>программно­</w:t>
      </w:r>
      <w:proofErr w:type="spellEnd"/>
      <w:r w:rsidR="002B6B3E">
        <w:br/>
      </w:r>
      <w:r w:rsidRPr="007424B1">
        <w:t>методических ресурсов для:</w:t>
      </w:r>
    </w:p>
    <w:p w:rsidR="007424B1" w:rsidRPr="007424B1" w:rsidRDefault="007424B1" w:rsidP="000178F5">
      <w:pPr>
        <w:spacing w:after="0" w:line="360" w:lineRule="auto"/>
        <w:jc w:val="both"/>
      </w:pPr>
      <w:r w:rsidRPr="007424B1">
        <w:t>подготовки и проведения научно-практических конференций, семинаров, конкурсов, мастер-классов, иных мероприятий, как районного,</w:t>
      </w:r>
      <w:r w:rsidR="00DF34ED">
        <w:br/>
      </w:r>
      <w:r w:rsidRPr="007424B1">
        <w:t xml:space="preserve"> так и областного уровней;</w:t>
      </w:r>
    </w:p>
    <w:p w:rsidR="007424B1" w:rsidRPr="007424B1" w:rsidRDefault="007424B1" w:rsidP="000178F5">
      <w:pPr>
        <w:spacing w:after="0" w:line="360" w:lineRule="auto"/>
        <w:jc w:val="both"/>
      </w:pPr>
      <w:r w:rsidRPr="007424B1">
        <w:t>подготовки и экспертизы работ учащихся и педагогов;</w:t>
      </w:r>
    </w:p>
    <w:p w:rsidR="007424B1" w:rsidRPr="007424B1" w:rsidRDefault="007424B1" w:rsidP="00F64E80">
      <w:pPr>
        <w:jc w:val="both"/>
      </w:pPr>
      <w:r w:rsidRPr="007424B1">
        <w:t>организации исследовательской, творческой, интеллектуальной деятельности учащихся;</w:t>
      </w:r>
    </w:p>
    <w:p w:rsidR="007424B1" w:rsidRPr="007424B1" w:rsidRDefault="007424B1" w:rsidP="00F64E80">
      <w:pPr>
        <w:jc w:val="both"/>
      </w:pPr>
      <w:r w:rsidRPr="007424B1">
        <w:t>организации методических консультаций по формированию естественно-</w:t>
      </w:r>
      <w:r w:rsidR="00DF34ED">
        <w:br/>
      </w:r>
      <w:r w:rsidRPr="007424B1">
        <w:t>математического и инженерного мышления учащихся.</w:t>
      </w:r>
    </w:p>
    <w:p w:rsidR="007424B1" w:rsidRPr="007424B1" w:rsidRDefault="007424B1" w:rsidP="00F64E80">
      <w:pPr>
        <w:numPr>
          <w:ilvl w:val="1"/>
          <w:numId w:val="5"/>
        </w:numPr>
        <w:ind w:hanging="534"/>
        <w:jc w:val="both"/>
      </w:pPr>
      <w:r w:rsidRPr="007424B1">
        <w:t>Информационно-методическая  работа  ИТЦ  осуществляется путем:</w:t>
      </w:r>
    </w:p>
    <w:p w:rsidR="007424B1" w:rsidRPr="007424B1" w:rsidRDefault="007424B1" w:rsidP="00F64E80">
      <w:pPr>
        <w:jc w:val="both"/>
      </w:pPr>
      <w:r w:rsidRPr="007424B1">
        <w:t>участия в формировании банка методической информаци</w:t>
      </w:r>
      <w:r w:rsidR="0022521B">
        <w:t>и</w:t>
      </w:r>
      <w:r w:rsidRPr="007424B1">
        <w:t>;</w:t>
      </w:r>
    </w:p>
    <w:p w:rsidR="007424B1" w:rsidRPr="007424B1" w:rsidRDefault="007424B1" w:rsidP="00F64E80">
      <w:pPr>
        <w:jc w:val="both"/>
      </w:pPr>
      <w:r w:rsidRPr="007424B1">
        <w:t>изучения эффективного педагогического опыта и его распространения;</w:t>
      </w:r>
    </w:p>
    <w:p w:rsidR="007424B1" w:rsidRPr="007424B1" w:rsidRDefault="007424B1" w:rsidP="00F64E80">
      <w:pPr>
        <w:jc w:val="both"/>
      </w:pPr>
      <w:r w:rsidRPr="007424B1">
        <w:lastRenderedPageBreak/>
        <w:t xml:space="preserve">участия в разработке программ, примерной учебно-программной </w:t>
      </w:r>
      <w:r w:rsidR="00DF34ED">
        <w:br/>
      </w:r>
      <w:r w:rsidRPr="007424B1">
        <w:t>документации;</w:t>
      </w:r>
    </w:p>
    <w:p w:rsidR="007424B1" w:rsidRPr="007424B1" w:rsidRDefault="007424B1" w:rsidP="00F64E80">
      <w:pPr>
        <w:jc w:val="both"/>
      </w:pPr>
      <w:r w:rsidRPr="007424B1">
        <w:t>разработки и внедрения инновационных образовательных технологий;</w:t>
      </w:r>
    </w:p>
    <w:p w:rsidR="007424B1" w:rsidRPr="007424B1" w:rsidRDefault="007424B1" w:rsidP="00F64E80">
      <w:pPr>
        <w:jc w:val="both"/>
      </w:pPr>
      <w:r w:rsidRPr="007424B1">
        <w:t xml:space="preserve">организации и проведения педагогических конференций, семинаров, </w:t>
      </w:r>
      <w:r w:rsidR="002B6B3E">
        <w:br/>
      </w:r>
      <w:r w:rsidRPr="007424B1">
        <w:t>практикумов и т.д.;</w:t>
      </w:r>
    </w:p>
    <w:p w:rsidR="007424B1" w:rsidRPr="007424B1" w:rsidRDefault="007424B1" w:rsidP="00F64E80">
      <w:pPr>
        <w:jc w:val="both"/>
      </w:pPr>
      <w:r w:rsidRPr="007424B1">
        <w:t>проведения исследовательских, проектных работ;</w:t>
      </w:r>
    </w:p>
    <w:p w:rsidR="007424B1" w:rsidRDefault="007424B1" w:rsidP="00F64E80">
      <w:pPr>
        <w:jc w:val="both"/>
      </w:pPr>
      <w:r w:rsidRPr="007424B1">
        <w:t>формирования библиотеки современной учебно-методической</w:t>
      </w:r>
      <w:r w:rsidR="002B6B3E">
        <w:br/>
      </w:r>
      <w:r w:rsidRPr="007424B1">
        <w:t xml:space="preserve"> и педагогической литературы, медиатеки, аудиовизуальных и интерактивных средств.</w:t>
      </w:r>
      <w:r w:rsidRPr="007424B1">
        <w:tab/>
      </w:r>
    </w:p>
    <w:p w:rsidR="006650F2" w:rsidRDefault="007424B1" w:rsidP="00120A9D">
      <w:pPr>
        <w:spacing w:after="0" w:line="240" w:lineRule="auto"/>
        <w:jc w:val="center"/>
      </w:pPr>
      <w:r w:rsidRPr="007424B1">
        <w:t>ГЛАВА 4</w:t>
      </w:r>
    </w:p>
    <w:p w:rsidR="007424B1" w:rsidRDefault="007424B1" w:rsidP="00120A9D">
      <w:pPr>
        <w:spacing w:after="0" w:line="240" w:lineRule="auto"/>
        <w:jc w:val="center"/>
      </w:pPr>
      <w:r w:rsidRPr="007424B1">
        <w:t>ОРГАНИЗАЦИЯ ДЕЯТЕЛЬНОСТИ ИТЦ</w:t>
      </w:r>
    </w:p>
    <w:p w:rsidR="00416A1E" w:rsidRPr="007424B1" w:rsidRDefault="00416A1E" w:rsidP="00120A9D">
      <w:pPr>
        <w:spacing w:after="0" w:line="240" w:lineRule="auto"/>
        <w:jc w:val="center"/>
      </w:pPr>
    </w:p>
    <w:p w:rsidR="007424B1" w:rsidRPr="007424B1" w:rsidRDefault="007424B1" w:rsidP="00F64E80">
      <w:pPr>
        <w:numPr>
          <w:ilvl w:val="1"/>
          <w:numId w:val="4"/>
        </w:numPr>
        <w:ind w:left="0" w:firstLine="0"/>
        <w:jc w:val="both"/>
      </w:pPr>
      <w:r w:rsidRPr="007424B1">
        <w:t>ИТЦ функционирует на основан</w:t>
      </w:r>
      <w:r w:rsidR="003E6EC1">
        <w:t xml:space="preserve">ии приказа начальника </w:t>
      </w:r>
      <w:r w:rsidR="00C37240">
        <w:br/>
      </w:r>
      <w:r w:rsidR="003E6EC1">
        <w:t xml:space="preserve"> отдела по образованию Дубровенского рай</w:t>
      </w:r>
      <w:r w:rsidRPr="007424B1">
        <w:t>исполкома.</w:t>
      </w:r>
    </w:p>
    <w:p w:rsidR="002B6B3E" w:rsidRDefault="002B6B3E" w:rsidP="00DF34ED">
      <w:pPr>
        <w:numPr>
          <w:ilvl w:val="1"/>
          <w:numId w:val="4"/>
        </w:numPr>
        <w:ind w:hanging="303"/>
        <w:jc w:val="both"/>
      </w:pPr>
      <w:r>
        <w:t>Ежеквартально, до 2 числа месяца</w:t>
      </w:r>
      <w:r w:rsidR="003D760B">
        <w:t xml:space="preserve"> </w:t>
      </w:r>
      <w:r>
        <w:t xml:space="preserve">- начала следующего квартала ИТЦ представляют отчет по ссылке </w:t>
      </w:r>
      <w:hyperlink r:id="rId9" w:history="1">
        <w:r w:rsidR="00DF34ED" w:rsidRPr="002A4B4E">
          <w:rPr>
            <w:rStyle w:val="a9"/>
          </w:rPr>
          <w:t>https://clck.ru/3DanxC</w:t>
        </w:r>
      </w:hyperlink>
      <w:r w:rsidR="00DF34ED">
        <w:t xml:space="preserve">  </w:t>
      </w:r>
    </w:p>
    <w:p w:rsidR="007424B1" w:rsidRPr="007424B1" w:rsidRDefault="007424B1" w:rsidP="00F64E80">
      <w:pPr>
        <w:numPr>
          <w:ilvl w:val="1"/>
          <w:numId w:val="4"/>
        </w:numPr>
        <w:ind w:left="0" w:firstLine="0"/>
        <w:jc w:val="both"/>
      </w:pPr>
      <w:r w:rsidRPr="007424B1">
        <w:t>Ежегодно до 1 июня текущего года ИТЦ предоставляет отчет</w:t>
      </w:r>
      <w:r w:rsidR="00C37240">
        <w:br/>
      </w:r>
      <w:r w:rsidRPr="007424B1">
        <w:t xml:space="preserve"> о п</w:t>
      </w:r>
      <w:r w:rsidR="00F63BDB">
        <w:t>роделанной работе в отдел по образованию рай</w:t>
      </w:r>
      <w:r w:rsidRPr="007424B1">
        <w:t xml:space="preserve">исполкома, которые в свою очередь до 10 июня информируют </w:t>
      </w:r>
      <w:r w:rsidR="00E13099">
        <w:t>Витебский областной</w:t>
      </w:r>
      <w:r w:rsidR="00DF34ED">
        <w:br/>
      </w:r>
      <w:r w:rsidR="00E13099">
        <w:t xml:space="preserve"> институт развития образования</w:t>
      </w:r>
      <w:r w:rsidRPr="007424B1">
        <w:t xml:space="preserve"> (форма произвольная).</w:t>
      </w:r>
    </w:p>
    <w:p w:rsidR="007424B1" w:rsidRPr="007424B1" w:rsidRDefault="007424B1" w:rsidP="00F64E80">
      <w:pPr>
        <w:numPr>
          <w:ilvl w:val="1"/>
          <w:numId w:val="4"/>
        </w:numPr>
        <w:ind w:left="0" w:firstLine="0"/>
        <w:jc w:val="both"/>
      </w:pPr>
      <w:r w:rsidRPr="007424B1">
        <w:t xml:space="preserve">Деятельность ИТЦ осуществляется в соответствии с настоящим </w:t>
      </w:r>
      <w:r w:rsidR="00DF34ED">
        <w:br/>
      </w:r>
      <w:r w:rsidRPr="007424B1">
        <w:t xml:space="preserve">положением, Дорожной картой по развитию сети инженерно-технических центров (ИТЦ) и Планом работы ИТЦ на учебный год, согласованным </w:t>
      </w:r>
      <w:r w:rsidR="00DF34ED">
        <w:br/>
      </w:r>
      <w:r w:rsidR="00F63BDB">
        <w:t>с отделом по образованию рай</w:t>
      </w:r>
      <w:r w:rsidRPr="007424B1">
        <w:t>исполкома.</w:t>
      </w:r>
    </w:p>
    <w:p w:rsidR="007424B1" w:rsidRPr="007424B1" w:rsidRDefault="007424B1" w:rsidP="00F64E80">
      <w:pPr>
        <w:numPr>
          <w:ilvl w:val="1"/>
          <w:numId w:val="4"/>
        </w:numPr>
        <w:ind w:left="0" w:firstLine="0"/>
        <w:jc w:val="both"/>
      </w:pPr>
      <w:r w:rsidRPr="007424B1">
        <w:t xml:space="preserve">Деятельность ИТЦ может быть прекращена до истечения </w:t>
      </w:r>
      <w:r w:rsidR="00DF34ED">
        <w:br/>
      </w:r>
      <w:r w:rsidRPr="007424B1">
        <w:t xml:space="preserve">установленного срока в случае ненадлежащего исполнения принятых на себя функций, недостаточной востребованности педагогической </w:t>
      </w:r>
      <w:r w:rsidR="00DF34ED">
        <w:br/>
      </w:r>
      <w:r w:rsidRPr="007424B1">
        <w:t>общественностью</w:t>
      </w:r>
      <w:r w:rsidR="00DF34ED">
        <w:t xml:space="preserve"> </w:t>
      </w:r>
      <w:r w:rsidRPr="007424B1">
        <w:t>реализуемого содержательного направления, по другим обоснованным причинам.</w:t>
      </w:r>
    </w:p>
    <w:p w:rsidR="00F63BDB" w:rsidRDefault="007424B1" w:rsidP="00F63BDB">
      <w:pPr>
        <w:numPr>
          <w:ilvl w:val="1"/>
          <w:numId w:val="4"/>
        </w:numPr>
        <w:ind w:left="0" w:firstLine="0"/>
        <w:jc w:val="both"/>
      </w:pPr>
      <w:r w:rsidRPr="007424B1">
        <w:t>Основанием для прекращения деятельности ИТЦ являетс</w:t>
      </w:r>
      <w:r w:rsidR="00F63BDB">
        <w:t>я приказ начальника отдела по образованию райисполкома.</w:t>
      </w:r>
    </w:p>
    <w:p w:rsidR="007424B1" w:rsidRPr="007424B1" w:rsidRDefault="007424B1" w:rsidP="00F63BDB">
      <w:pPr>
        <w:jc w:val="center"/>
      </w:pPr>
      <w:r w:rsidRPr="007424B1">
        <w:t>ГЛАВА 5</w:t>
      </w:r>
    </w:p>
    <w:p w:rsidR="007424B1" w:rsidRDefault="007424B1" w:rsidP="00120A9D">
      <w:pPr>
        <w:spacing w:after="0" w:line="240" w:lineRule="auto"/>
        <w:jc w:val="center"/>
      </w:pPr>
      <w:r w:rsidRPr="007424B1">
        <w:t>СТРУКТУРА ИТЦ, РУКОВОДСТВО, КОНТРОЛЬ</w:t>
      </w:r>
    </w:p>
    <w:p w:rsidR="00F64E80" w:rsidRPr="007424B1" w:rsidRDefault="00F64E80" w:rsidP="00F64E80">
      <w:pPr>
        <w:spacing w:after="0" w:line="240" w:lineRule="auto"/>
        <w:jc w:val="both"/>
      </w:pPr>
    </w:p>
    <w:p w:rsidR="007424B1" w:rsidRPr="007424B1" w:rsidRDefault="007424B1" w:rsidP="00F91B36">
      <w:pPr>
        <w:numPr>
          <w:ilvl w:val="1"/>
          <w:numId w:val="3"/>
        </w:numPr>
        <w:ind w:left="0" w:firstLine="0"/>
        <w:jc w:val="both"/>
      </w:pPr>
      <w:r w:rsidRPr="007424B1">
        <w:lastRenderedPageBreak/>
        <w:t xml:space="preserve">Структура ИТЦ определяется учреждением общего среднего </w:t>
      </w:r>
      <w:r w:rsidR="00C37240">
        <w:br/>
      </w:r>
      <w:r w:rsidRPr="007424B1">
        <w:t xml:space="preserve">образования самостоятельно по согласованию с отделом образования </w:t>
      </w:r>
      <w:r w:rsidR="00F63BDB">
        <w:t>рай</w:t>
      </w:r>
      <w:r w:rsidRPr="007424B1">
        <w:t>ис</w:t>
      </w:r>
      <w:r w:rsidR="00F63BDB">
        <w:t>полкома.</w:t>
      </w:r>
    </w:p>
    <w:p w:rsidR="00DF34ED" w:rsidRPr="00F91B36" w:rsidRDefault="00F91B36" w:rsidP="00F91B36">
      <w:pPr>
        <w:jc w:val="both"/>
        <w:rPr>
          <w:highlight w:val="yellow"/>
        </w:rPr>
      </w:pPr>
      <w:r>
        <w:t>5.</w:t>
      </w:r>
      <w:proofErr w:type="gramStart"/>
      <w:r>
        <w:t>2.</w:t>
      </w:r>
      <w:r w:rsidR="007424B1" w:rsidRPr="00F63BDB">
        <w:t>Непосредственное</w:t>
      </w:r>
      <w:proofErr w:type="gramEnd"/>
      <w:r w:rsidR="007424B1" w:rsidRPr="00F63BDB">
        <w:t xml:space="preserve"> руководство деятельностью ИТЦ осуществляет </w:t>
      </w:r>
      <w:r w:rsidR="00C37240" w:rsidRPr="00F63BDB">
        <w:br/>
      </w:r>
      <w:r w:rsidR="007424B1" w:rsidRPr="00F63BDB">
        <w:t xml:space="preserve">педагогический работник, назначаемый приказом руководителя </w:t>
      </w:r>
      <w:r w:rsidR="00416A1E" w:rsidRPr="00F63BDB">
        <w:t>ГУО «</w:t>
      </w:r>
      <w:r w:rsidR="00F63BDB">
        <w:t xml:space="preserve">Средняя школа №2 </w:t>
      </w:r>
      <w:proofErr w:type="spellStart"/>
      <w:r w:rsidR="00F63BDB">
        <w:t>г.Дубровно</w:t>
      </w:r>
      <w:proofErr w:type="spellEnd"/>
      <w:r w:rsidR="00F63BDB">
        <w:t xml:space="preserve"> имени </w:t>
      </w:r>
      <w:proofErr w:type="spellStart"/>
      <w:r w:rsidR="00F63BDB">
        <w:t>Ю.</w:t>
      </w:r>
      <w:r w:rsidR="003373A3">
        <w:t>Смирнова</w:t>
      </w:r>
      <w:proofErr w:type="spellEnd"/>
      <w:r w:rsidR="00416A1E" w:rsidRPr="00F63BDB">
        <w:t>»</w:t>
      </w:r>
      <w:r w:rsidR="007424B1" w:rsidRPr="00F63BDB">
        <w:t>.</w:t>
      </w:r>
    </w:p>
    <w:p w:rsidR="007424B1" w:rsidRPr="007424B1" w:rsidRDefault="00F91B36" w:rsidP="00F91B36">
      <w:pPr>
        <w:jc w:val="both"/>
      </w:pPr>
      <w:r>
        <w:t>5.</w:t>
      </w:r>
      <w:proofErr w:type="gramStart"/>
      <w:r>
        <w:t>3.</w:t>
      </w:r>
      <w:r w:rsidR="007424B1" w:rsidRPr="007424B1">
        <w:t>Контроль</w:t>
      </w:r>
      <w:proofErr w:type="gramEnd"/>
      <w:r w:rsidR="007424B1" w:rsidRPr="007424B1">
        <w:t xml:space="preserve"> за деятельностью ИТЦ осуществляет </w:t>
      </w:r>
      <w:r w:rsidR="007424B1" w:rsidRPr="00F63BDB">
        <w:t xml:space="preserve">руководитель </w:t>
      </w:r>
      <w:r w:rsidR="00C37240" w:rsidRPr="00F63BDB">
        <w:br/>
      </w:r>
      <w:r w:rsidR="007424B1" w:rsidRPr="00F63BDB">
        <w:t>учреждения общего среднего образования, на базе которого он функционирует</w:t>
      </w:r>
      <w:r w:rsidR="007424B1" w:rsidRPr="007424B1">
        <w:t>.</w:t>
      </w:r>
    </w:p>
    <w:p w:rsidR="00416A1E" w:rsidRDefault="00416A1E" w:rsidP="00120A9D">
      <w:pPr>
        <w:spacing w:after="0" w:line="240" w:lineRule="auto"/>
        <w:jc w:val="center"/>
      </w:pPr>
    </w:p>
    <w:p w:rsidR="00F64E80" w:rsidRDefault="007424B1" w:rsidP="00120A9D">
      <w:pPr>
        <w:spacing w:after="0" w:line="240" w:lineRule="auto"/>
        <w:jc w:val="center"/>
      </w:pPr>
      <w:r w:rsidRPr="007424B1">
        <w:t>ГЛАВА 6</w:t>
      </w:r>
    </w:p>
    <w:p w:rsidR="007424B1" w:rsidRPr="007424B1" w:rsidRDefault="007424B1" w:rsidP="00120A9D">
      <w:pPr>
        <w:spacing w:after="0" w:line="240" w:lineRule="auto"/>
        <w:jc w:val="center"/>
      </w:pPr>
      <w:r w:rsidRPr="007424B1">
        <w:t>ФИНАНСИРОВАНИЕ ДЕЯТЕЛЬНОСТИ ИТЦ</w:t>
      </w:r>
    </w:p>
    <w:p w:rsidR="007424B1" w:rsidRPr="007424B1" w:rsidRDefault="007424B1" w:rsidP="00120A9D">
      <w:pPr>
        <w:jc w:val="center"/>
      </w:pPr>
    </w:p>
    <w:p w:rsidR="007424B1" w:rsidRPr="007424B1" w:rsidRDefault="007424B1" w:rsidP="00FA4658">
      <w:pPr>
        <w:jc w:val="both"/>
      </w:pPr>
      <w:r w:rsidRPr="007424B1">
        <w:t>Финансирование</w:t>
      </w:r>
      <w:r w:rsidRPr="007424B1">
        <w:tab/>
        <w:t>деятельности</w:t>
      </w:r>
      <w:r w:rsidRPr="007424B1">
        <w:tab/>
        <w:t>ИТЦ</w:t>
      </w:r>
      <w:r w:rsidRPr="007424B1">
        <w:tab/>
        <w:t>производится</w:t>
      </w:r>
      <w:r w:rsidRPr="007424B1">
        <w:tab/>
        <w:t xml:space="preserve"> за</w:t>
      </w:r>
      <w:r w:rsidRPr="007424B1">
        <w:tab/>
        <w:t>счет бюджетных</w:t>
      </w:r>
      <w:r w:rsidRPr="007424B1">
        <w:tab/>
        <w:t>средств,</w:t>
      </w:r>
      <w:r w:rsidRPr="007424B1">
        <w:tab/>
        <w:t>выделяемых</w:t>
      </w:r>
      <w:r w:rsidRPr="007424B1">
        <w:tab/>
        <w:t>учреждениям</w:t>
      </w:r>
      <w:r w:rsidRPr="007424B1">
        <w:tab/>
      </w:r>
      <w:r w:rsidRPr="007424B1">
        <w:tab/>
        <w:t>образования,</w:t>
      </w:r>
      <w:r w:rsidRPr="007424B1">
        <w:tab/>
        <w:t>на базе которых они созданы, а также иных</w:t>
      </w:r>
      <w:r w:rsidR="00120A9D">
        <w:t xml:space="preserve"> </w:t>
      </w:r>
      <w:r w:rsidRPr="007424B1">
        <w:t>источников финансирования,</w:t>
      </w:r>
      <w:r w:rsidRPr="007424B1">
        <w:tab/>
        <w:t>не запрещенных законодательством Республики Беларусь</w:t>
      </w:r>
      <w:r w:rsidR="00FA4658">
        <w:t>.</w:t>
      </w:r>
    </w:p>
    <w:p w:rsidR="007424B1" w:rsidRPr="007424B1" w:rsidRDefault="007424B1" w:rsidP="00B56765">
      <w:pPr>
        <w:spacing w:after="0" w:line="240" w:lineRule="auto"/>
        <w:jc w:val="center"/>
      </w:pPr>
      <w:r w:rsidRPr="007424B1">
        <w:t>ГЛАВА</w:t>
      </w:r>
      <w:r w:rsidR="00FA4658">
        <w:t xml:space="preserve"> </w:t>
      </w:r>
      <w:r w:rsidRPr="007424B1">
        <w:t>7</w:t>
      </w:r>
    </w:p>
    <w:p w:rsidR="007424B1" w:rsidRDefault="007424B1" w:rsidP="00B56765">
      <w:pPr>
        <w:spacing w:after="0" w:line="240" w:lineRule="auto"/>
        <w:jc w:val="center"/>
      </w:pPr>
      <w:r w:rsidRPr="007424B1">
        <w:t>КООРДИНАЦИЯ ДЕЯТЕЛЬНОСТИ ИТЦ</w:t>
      </w:r>
    </w:p>
    <w:p w:rsidR="00B56765" w:rsidRPr="007424B1" w:rsidRDefault="00B56765" w:rsidP="00B56765">
      <w:pPr>
        <w:spacing w:after="0" w:line="240" w:lineRule="auto"/>
        <w:jc w:val="center"/>
      </w:pPr>
    </w:p>
    <w:p w:rsidR="007424B1" w:rsidRPr="00B56765" w:rsidRDefault="00F91B36" w:rsidP="00F91B36">
      <w:pPr>
        <w:jc w:val="both"/>
        <w:rPr>
          <w:highlight w:val="yellow"/>
        </w:rPr>
      </w:pPr>
      <w:r>
        <w:t>7.</w:t>
      </w:r>
      <w:r w:rsidR="00B56765" w:rsidRPr="00FA4658">
        <w:t>К</w:t>
      </w:r>
      <w:r w:rsidR="007424B1" w:rsidRPr="00FA4658">
        <w:t>оординаторами</w:t>
      </w:r>
      <w:r w:rsidR="00B56765" w:rsidRPr="00FA4658">
        <w:t xml:space="preserve">  деятельности ИТЦ </w:t>
      </w:r>
      <w:r w:rsidR="007424B1" w:rsidRPr="00FA4658">
        <w:t>являются руководители</w:t>
      </w:r>
      <w:r w:rsidR="00B56765" w:rsidRPr="00FA4658">
        <w:tab/>
      </w:r>
      <w:r w:rsidR="00C37240" w:rsidRPr="00FA4658">
        <w:br/>
      </w:r>
      <w:r w:rsidR="007424B1" w:rsidRPr="00FA4658">
        <w:t>учреждений</w:t>
      </w:r>
      <w:r w:rsidR="007424B1" w:rsidRPr="00FA4658">
        <w:tab/>
        <w:t>общего</w:t>
      </w:r>
      <w:r w:rsidR="007424B1" w:rsidRPr="00FA4658">
        <w:tab/>
        <w:t>образования,</w:t>
      </w:r>
      <w:r w:rsidR="007424B1" w:rsidRPr="00FA4658">
        <w:tab/>
        <w:t>на</w:t>
      </w:r>
      <w:r w:rsidR="00B56765" w:rsidRPr="00FA4658">
        <w:t xml:space="preserve"> </w:t>
      </w:r>
      <w:r w:rsidR="007424B1" w:rsidRPr="00FA4658">
        <w:t>базе</w:t>
      </w:r>
      <w:r w:rsidR="007424B1" w:rsidRPr="00FA4658">
        <w:tab/>
        <w:t>которых функционируют ИТЦ.</w:t>
      </w:r>
    </w:p>
    <w:p w:rsidR="00B56765" w:rsidRDefault="00B56765" w:rsidP="00F64E80">
      <w:pPr>
        <w:jc w:val="both"/>
      </w:pPr>
      <w:r>
        <w:t>К</w:t>
      </w:r>
      <w:r w:rsidR="007424B1" w:rsidRPr="007424B1">
        <w:t>оординаторы по</w:t>
      </w:r>
      <w:r w:rsidR="00F91B36">
        <w:t xml:space="preserve"> согласованию с отделом по образованию:</w:t>
      </w:r>
    </w:p>
    <w:p w:rsidR="007424B1" w:rsidRPr="007424B1" w:rsidRDefault="007424B1" w:rsidP="00F64E80">
      <w:pPr>
        <w:jc w:val="both"/>
      </w:pPr>
      <w:r w:rsidRPr="007424B1">
        <w:t>определяют структуру и штат ИТЦ;</w:t>
      </w:r>
    </w:p>
    <w:p w:rsidR="007424B1" w:rsidRPr="007424B1" w:rsidRDefault="007424B1" w:rsidP="00F64E80">
      <w:pPr>
        <w:jc w:val="both"/>
      </w:pPr>
      <w:r w:rsidRPr="007424B1">
        <w:t>разрабатывают локальные нормативные правовые акты: положение об ИТЦ, план работы ИТЦ;</w:t>
      </w:r>
    </w:p>
    <w:p w:rsidR="007424B1" w:rsidRPr="007424B1" w:rsidRDefault="007424B1" w:rsidP="00F64E80">
      <w:pPr>
        <w:jc w:val="both"/>
      </w:pPr>
      <w:r w:rsidRPr="007424B1">
        <w:t xml:space="preserve">организуют использование оборудования ИТЦ учреждениями общего </w:t>
      </w:r>
      <w:r w:rsidR="00C37240">
        <w:br/>
      </w:r>
      <w:r w:rsidRPr="007424B1">
        <w:t>сред</w:t>
      </w:r>
      <w:r w:rsidR="00FA4658">
        <w:t xml:space="preserve">него образования района </w:t>
      </w:r>
      <w:r w:rsidRPr="007424B1">
        <w:t xml:space="preserve"> для организации исследовательской</w:t>
      </w:r>
      <w:r w:rsidR="00C37240">
        <w:br/>
      </w:r>
      <w:r w:rsidRPr="007424B1">
        <w:t xml:space="preserve"> и  проектной  деятельности  по  предметам</w:t>
      </w:r>
      <w:r w:rsidR="00CD7DAC">
        <w:t xml:space="preserve"> </w:t>
      </w:r>
      <w:r w:rsidRPr="007424B1">
        <w:t xml:space="preserve"> «Математика»,  «Физика»,</w:t>
      </w:r>
      <w:r w:rsidR="00CD7DAC">
        <w:t xml:space="preserve"> </w:t>
      </w:r>
      <w:r w:rsidR="00C37240">
        <w:br/>
      </w:r>
      <w:r w:rsidRPr="007424B1">
        <w:t xml:space="preserve">«Химия», «Информатика», «Биология» и др., реализации учебных программ профильных классов инженерной направленности и факультативных  </w:t>
      </w:r>
      <w:r w:rsidR="00C37240">
        <w:br/>
      </w:r>
      <w:r w:rsidRPr="00DF34ED">
        <w:t>занятий</w:t>
      </w:r>
      <w:r w:rsidRPr="007424B1">
        <w:rPr>
          <w:b/>
        </w:rPr>
        <w:t xml:space="preserve">  </w:t>
      </w:r>
      <w:r w:rsidR="00FA4658">
        <w:t>п</w:t>
      </w:r>
      <w:r w:rsidRPr="007424B1">
        <w:t xml:space="preserve">о  направлениям  «Робототехника  и прототипирование»,  </w:t>
      </w:r>
      <w:r w:rsidR="00C37240">
        <w:br/>
      </w:r>
      <w:r w:rsidRPr="007424B1">
        <w:t>«Информационные  системы   и  технологии»,</w:t>
      </w:r>
      <w:r w:rsidR="00CD7DAC">
        <w:t xml:space="preserve"> </w:t>
      </w:r>
      <w:r w:rsidRPr="007424B1">
        <w:t>«Инженерно-техническое», «Естественнонаучное»</w:t>
      </w:r>
      <w:r w:rsidR="003373A3">
        <w:t>,</w:t>
      </w:r>
      <w:r w:rsidRPr="007424B1">
        <w:t xml:space="preserve"> «Архитектура и дизайн»;</w:t>
      </w:r>
    </w:p>
    <w:p w:rsidR="007424B1" w:rsidRPr="007424B1" w:rsidRDefault="007424B1" w:rsidP="00F64E80">
      <w:pPr>
        <w:jc w:val="both"/>
      </w:pPr>
      <w:r w:rsidRPr="007424B1">
        <w:lastRenderedPageBreak/>
        <w:t>осуществляют реализацию н</w:t>
      </w:r>
      <w:r w:rsidR="00CD7DAC">
        <w:t>а базе И</w:t>
      </w:r>
      <w:r w:rsidRPr="007424B1">
        <w:t>ТЦ программ исследовательских (проектных) объединений по интересам технического и естественно­ математического профиля для учащихся учреждений общего среднего образования.</w:t>
      </w:r>
    </w:p>
    <w:p w:rsidR="00421E03" w:rsidRDefault="00421E03" w:rsidP="00276064">
      <w:pPr>
        <w:spacing w:after="0" w:line="240" w:lineRule="auto"/>
        <w:jc w:val="center"/>
      </w:pPr>
    </w:p>
    <w:p w:rsidR="00276064" w:rsidRDefault="007424B1" w:rsidP="00276064">
      <w:pPr>
        <w:spacing w:after="0" w:line="240" w:lineRule="auto"/>
        <w:jc w:val="center"/>
      </w:pPr>
      <w:r w:rsidRPr="007424B1">
        <w:t>ГЛАВА 8</w:t>
      </w:r>
    </w:p>
    <w:p w:rsidR="007424B1" w:rsidRPr="007424B1" w:rsidRDefault="007424B1" w:rsidP="00276064">
      <w:pPr>
        <w:spacing w:after="0" w:line="240" w:lineRule="auto"/>
        <w:jc w:val="center"/>
      </w:pPr>
      <w:r w:rsidRPr="007424B1">
        <w:t>ЗАКЛЮЧИТЕЛЬНЫЕ ПОЛОЖЕНИЯ</w:t>
      </w:r>
    </w:p>
    <w:p w:rsidR="00421E03" w:rsidRDefault="00421E03" w:rsidP="00F64E80">
      <w:pPr>
        <w:jc w:val="both"/>
      </w:pPr>
    </w:p>
    <w:p w:rsidR="00455A8C" w:rsidRDefault="007424B1" w:rsidP="00F64E80">
      <w:pPr>
        <w:jc w:val="both"/>
      </w:pPr>
      <w:r w:rsidRPr="007424B1">
        <w:t>В</w:t>
      </w:r>
      <w:r w:rsidRPr="007424B1">
        <w:tab/>
        <w:t>настоящее</w:t>
      </w:r>
      <w:r w:rsidRPr="007424B1">
        <w:tab/>
        <w:t>положение</w:t>
      </w:r>
      <w:r w:rsidRPr="007424B1">
        <w:tab/>
        <w:t>могут</w:t>
      </w:r>
      <w:r w:rsidR="00276064">
        <w:t xml:space="preserve"> </w:t>
      </w:r>
      <w:r w:rsidRPr="007424B1">
        <w:t>быть</w:t>
      </w:r>
      <w:r w:rsidR="003373A3">
        <w:t xml:space="preserve">  </w:t>
      </w:r>
      <w:r w:rsidRPr="007424B1">
        <w:tab/>
        <w:t>внесены</w:t>
      </w:r>
      <w:r w:rsidRPr="007424B1">
        <w:tab/>
        <w:t xml:space="preserve">необходимые </w:t>
      </w:r>
      <w:r w:rsidR="00C37240">
        <w:br/>
      </w:r>
      <w:r w:rsidRPr="007424B1">
        <w:t>изменения и дополнения в установленном законодательством порядке.</w:t>
      </w:r>
    </w:p>
    <w:sectPr w:rsidR="00455A8C" w:rsidSect="00DF34ED">
      <w:headerReference w:type="default" r:id="rId10"/>
      <w:type w:val="continuous"/>
      <w:pgSz w:w="11906" w:h="16838" w:code="9"/>
      <w:pgMar w:top="1700" w:right="991" w:bottom="851" w:left="170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1E0" w:rsidRDefault="000001E0" w:rsidP="00973DDC">
      <w:pPr>
        <w:spacing w:after="0" w:line="240" w:lineRule="auto"/>
      </w:pPr>
      <w:r>
        <w:separator/>
      </w:r>
    </w:p>
  </w:endnote>
  <w:endnote w:type="continuationSeparator" w:id="0">
    <w:p w:rsidR="000001E0" w:rsidRDefault="000001E0" w:rsidP="0097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1E0" w:rsidRDefault="000001E0" w:rsidP="00973DDC">
      <w:pPr>
        <w:spacing w:after="0" w:line="240" w:lineRule="auto"/>
      </w:pPr>
      <w:r>
        <w:separator/>
      </w:r>
    </w:p>
  </w:footnote>
  <w:footnote w:type="continuationSeparator" w:id="0">
    <w:p w:rsidR="000001E0" w:rsidRDefault="000001E0" w:rsidP="0097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8AC" w:rsidRDefault="00F315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50F1D8" wp14:editId="315AE7A0">
              <wp:simplePos x="0" y="0"/>
              <wp:positionH relativeFrom="page">
                <wp:posOffset>4227703</wp:posOffset>
              </wp:positionH>
              <wp:positionV relativeFrom="page">
                <wp:posOffset>712780</wp:posOffset>
              </wp:positionV>
              <wp:extent cx="177800" cy="22288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38AC" w:rsidRDefault="000001E0">
                          <w:pPr>
                            <w:spacing w:before="8"/>
                            <w:ind w:left="60"/>
                            <w:rPr>
                              <w:b/>
                            </w:rPr>
                          </w:pPr>
                        </w:p>
                        <w:p w:rsidR="009118D8" w:rsidRDefault="009118D8">
                          <w:pPr>
                            <w:spacing w:before="8"/>
                            <w:ind w:left="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0F1D8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332.9pt;margin-top:56.1pt;width:1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gVpwEAAEADAAAOAAAAZHJzL2Uyb0RvYy54bWysUsFu2zAMvQ/oPwi6N3YNdAmMOEXXYsOA&#10;YhvQ7gNkWYqFWaImKrHz96NkJy2229CLTJlPj++R3N5NdmBHFdCAa/jNquRMOQmdcfuG/3z5fL3h&#10;DKNwnRjAqYafFPK73dWH7ehrVUEPQ6cCIxKH9egb3sfo66JA2SsrcAVeOUpqCFZEuoZ90QUxErsd&#10;iqosPxYjhM4HkAqR/j7OSb7L/ForGb9rjSqyoeGkLeYz5LNNZ7HbinofhO+NXGSI/1BhhXFU9EL1&#10;KKJgh2D+obJGBkDQcSXBFqC1kSp7IDc35V9unnvhVfZCzUF/aRO+H638dvwRmOkaXq05c8LSjF7U&#10;FFuYGP2h9owea0I9e8LF6RNMNOZsFf0TyF9IkOINZn6AhE7tmHSw6UtGGT2kCZwuXacqTCa29XpT&#10;UkZSqqqqzeY2lS1eH/uA8YsCy1LQ8EBDzQLE8QnjDD1DFi1z+aQqTu20mGihO5GHkYbdcPx9EEFx&#10;Nnx11M20GecgnIP2HIQ4PEDen2TFwf0hgja5ciox8y6VaUxZ+7JSaQ/e3jPqdfF3fwAAAP//AwBQ&#10;SwMEFAAGAAgAAAAhANiECq7fAAAACwEAAA8AAABkcnMvZG93bnJldi54bWxMj8FOwzAQRO9I/IO1&#10;SNyo0xQCDXGqCsEJCZGGA0cn3iZW43WI3Tb8PcsJjjszmn1TbGY3iBNOwXpSsFwkIJBabyx1Cj7q&#10;l5sHECFqMnrwhAq+McCmvLwodG78mSo87WInuIRCrhX0MY65lKHt0emw8CMSe3s/OR35nDppJn3m&#10;cjfINEky6bQl/tDrEZ96bA+7o1Ow/aTq2X69Ne/VvrJ1vU7oNTsodX01bx9BRJzjXxh+8RkdSmZq&#10;/JFMEIOCLLtj9MjGMk1BcCJbr1hpWLm9X4EsC/l/Q/kDAAD//wMAUEsBAi0AFAAGAAgAAAAhALaD&#10;OJL+AAAA4QEAABMAAAAAAAAAAAAAAAAAAAAAAFtDb250ZW50X1R5cGVzXS54bWxQSwECLQAUAAYA&#10;CAAAACEAOP0h/9YAAACUAQAACwAAAAAAAAAAAAAAAAAvAQAAX3JlbHMvLnJlbHNQSwECLQAUAAYA&#10;CAAAACEAFTQIFacBAABAAwAADgAAAAAAAAAAAAAAAAAuAgAAZHJzL2Uyb0RvYy54bWxQSwECLQAU&#10;AAYACAAAACEA2IQKrt8AAAALAQAADwAAAAAAAAAAAAAAAAABBAAAZHJzL2Rvd25yZXYueG1sUEsF&#10;BgAAAAAEAAQA8wAAAA0FAAAAAA==&#10;" filled="f" stroked="f">
              <v:textbox inset="0,0,0,0">
                <w:txbxContent>
                  <w:p w:rsidR="004D38AC" w:rsidRDefault="000001E0">
                    <w:pPr>
                      <w:spacing w:before="8"/>
                      <w:ind w:left="60"/>
                      <w:rPr>
                        <w:b/>
                      </w:rPr>
                    </w:pPr>
                  </w:p>
                  <w:p w:rsidR="009118D8" w:rsidRDefault="009118D8">
                    <w:pPr>
                      <w:spacing w:before="8"/>
                      <w:ind w:left="6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6FC"/>
    <w:multiLevelType w:val="multilevel"/>
    <w:tmpl w:val="21263530"/>
    <w:lvl w:ilvl="0">
      <w:start w:val="3"/>
      <w:numFmt w:val="decimal"/>
      <w:lvlText w:val="%1"/>
      <w:lvlJc w:val="left"/>
      <w:pPr>
        <w:ind w:left="534" w:hanging="12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1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1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1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1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1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1252"/>
      </w:pPr>
      <w:rPr>
        <w:rFonts w:hint="default"/>
        <w:lang w:val="ru-RU" w:eastAsia="en-US" w:bidi="ar-SA"/>
      </w:rPr>
    </w:lvl>
  </w:abstractNum>
  <w:abstractNum w:abstractNumId="1" w15:restartNumberingAfterBreak="0">
    <w:nsid w:val="1D533EF5"/>
    <w:multiLevelType w:val="multilevel"/>
    <w:tmpl w:val="F7680460"/>
    <w:lvl w:ilvl="0">
      <w:start w:val="6"/>
      <w:numFmt w:val="decimal"/>
      <w:lvlText w:val="%1"/>
      <w:lvlJc w:val="left"/>
      <w:pPr>
        <w:ind w:left="476" w:hanging="12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6" w:hanging="1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1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1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1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1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1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1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262"/>
      </w:pPr>
      <w:rPr>
        <w:rFonts w:hint="default"/>
        <w:lang w:val="ru-RU" w:eastAsia="en-US" w:bidi="ar-SA"/>
      </w:rPr>
    </w:lvl>
  </w:abstractNum>
  <w:abstractNum w:abstractNumId="2" w15:restartNumberingAfterBreak="0">
    <w:nsid w:val="23F105BF"/>
    <w:multiLevelType w:val="multilevel"/>
    <w:tmpl w:val="15F6E440"/>
    <w:lvl w:ilvl="0">
      <w:start w:val="4"/>
      <w:numFmt w:val="decimal"/>
      <w:lvlText w:val="%1"/>
      <w:lvlJc w:val="left"/>
      <w:pPr>
        <w:ind w:left="303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6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3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2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0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7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715"/>
      </w:pPr>
      <w:rPr>
        <w:rFonts w:hint="default"/>
        <w:lang w:val="ru-RU" w:eastAsia="en-US" w:bidi="ar-SA"/>
      </w:rPr>
    </w:lvl>
  </w:abstractNum>
  <w:abstractNum w:abstractNumId="3" w15:restartNumberingAfterBreak="0">
    <w:nsid w:val="298E6B90"/>
    <w:multiLevelType w:val="multilevel"/>
    <w:tmpl w:val="1F6CBFAC"/>
    <w:lvl w:ilvl="0">
      <w:start w:val="7"/>
      <w:numFmt w:val="decimal"/>
      <w:lvlText w:val="%1"/>
      <w:lvlJc w:val="left"/>
      <w:pPr>
        <w:ind w:left="481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09"/>
      </w:pPr>
      <w:rPr>
        <w:rFonts w:hint="default"/>
        <w:lang w:val="ru-RU" w:eastAsia="en-US" w:bidi="ar-SA"/>
      </w:rPr>
    </w:lvl>
  </w:abstractNum>
  <w:abstractNum w:abstractNumId="4" w15:restartNumberingAfterBreak="0">
    <w:nsid w:val="320F35C1"/>
    <w:multiLevelType w:val="multilevel"/>
    <w:tmpl w:val="E3561E58"/>
    <w:lvl w:ilvl="0">
      <w:start w:val="1"/>
      <w:numFmt w:val="decimal"/>
      <w:lvlText w:val="%1."/>
      <w:lvlJc w:val="left"/>
      <w:pPr>
        <w:ind w:left="910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8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6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7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4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626A5377"/>
    <w:multiLevelType w:val="multilevel"/>
    <w:tmpl w:val="7ABE6A66"/>
    <w:lvl w:ilvl="0">
      <w:start w:val="2"/>
      <w:numFmt w:val="decimal"/>
      <w:lvlText w:val="%1"/>
      <w:lvlJc w:val="left"/>
      <w:pPr>
        <w:ind w:left="395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8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7BAF4E7D"/>
    <w:multiLevelType w:val="multilevel"/>
    <w:tmpl w:val="59462C7C"/>
    <w:lvl w:ilvl="0">
      <w:start w:val="5"/>
      <w:numFmt w:val="decimal"/>
      <w:lvlText w:val="%1"/>
      <w:lvlJc w:val="left"/>
      <w:pPr>
        <w:ind w:left="34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4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4B1"/>
    <w:rsid w:val="000001E0"/>
    <w:rsid w:val="000178F5"/>
    <w:rsid w:val="00120A9D"/>
    <w:rsid w:val="001862BB"/>
    <w:rsid w:val="0022521B"/>
    <w:rsid w:val="00276064"/>
    <w:rsid w:val="002B6B3E"/>
    <w:rsid w:val="003373A3"/>
    <w:rsid w:val="003D760B"/>
    <w:rsid w:val="003E6EC1"/>
    <w:rsid w:val="00416A1E"/>
    <w:rsid w:val="00421E03"/>
    <w:rsid w:val="00455A8C"/>
    <w:rsid w:val="006650F2"/>
    <w:rsid w:val="007424B1"/>
    <w:rsid w:val="009118D8"/>
    <w:rsid w:val="00950D11"/>
    <w:rsid w:val="00951F06"/>
    <w:rsid w:val="00973DDC"/>
    <w:rsid w:val="009B25B6"/>
    <w:rsid w:val="00A64DFC"/>
    <w:rsid w:val="00B56765"/>
    <w:rsid w:val="00C37240"/>
    <w:rsid w:val="00C96EC5"/>
    <w:rsid w:val="00CA360F"/>
    <w:rsid w:val="00CD7DAC"/>
    <w:rsid w:val="00DF34ED"/>
    <w:rsid w:val="00E13099"/>
    <w:rsid w:val="00F3150D"/>
    <w:rsid w:val="00F41E06"/>
    <w:rsid w:val="00F63BDB"/>
    <w:rsid w:val="00F64E80"/>
    <w:rsid w:val="00F91B36"/>
    <w:rsid w:val="00F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4F532"/>
  <w15:docId w15:val="{41497E2A-63E2-437A-9607-BC7D2C07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4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4B1"/>
  </w:style>
  <w:style w:type="paragraph" w:styleId="a5">
    <w:name w:val="header"/>
    <w:basedOn w:val="a"/>
    <w:link w:val="a6"/>
    <w:uiPriority w:val="99"/>
    <w:unhideWhenUsed/>
    <w:rsid w:val="0097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3DDC"/>
  </w:style>
  <w:style w:type="paragraph" w:styleId="a7">
    <w:name w:val="footer"/>
    <w:basedOn w:val="a"/>
    <w:link w:val="a8"/>
    <w:uiPriority w:val="99"/>
    <w:unhideWhenUsed/>
    <w:rsid w:val="0097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3DDC"/>
  </w:style>
  <w:style w:type="character" w:styleId="a9">
    <w:name w:val="Hyperlink"/>
    <w:basedOn w:val="a0"/>
    <w:uiPriority w:val="99"/>
    <w:unhideWhenUsed/>
    <w:rsid w:val="00DF34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8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ru/3Dan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0385-1D81-47FB-9F31-54F4B77C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21</cp:revision>
  <dcterms:created xsi:type="dcterms:W3CDTF">2024-09-27T11:05:00Z</dcterms:created>
  <dcterms:modified xsi:type="dcterms:W3CDTF">2025-01-22T11:52:00Z</dcterms:modified>
</cp:coreProperties>
</file>