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pPr w:bottomFromText="0" w:horzAnchor="margin" w:leftFromText="180" w:rightFromText="180" w:tblpXSpec="left" w:tblpY="-952" w:topFromText="0" w:vertAnchor="margin"/>
        <w:tblW w:type="auto" w:w="0"/>
        <w:tblLayout w:type="fixed"/>
      </w:tblPr>
      <w:tblGrid>
        <w:gridCol w:w="4127"/>
        <w:gridCol w:w="1436"/>
        <w:gridCol w:w="4218"/>
      </w:tblGrid>
      <w:tr>
        <w:trPr>
          <w:trHeight w:hRule="atLeast" w:val="841"/>
        </w:trPr>
        <w:tc>
          <w:tcPr>
            <w:tcW w:type="dxa" w:w="4127"/>
          </w:tcPr>
          <w:p w14:paraId="02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  <w:r>
              <w:drawing>
                <wp:anchor allowOverlap="true" behindDoc="true" layoutInCell="true" locked="false" relativeHeight="251658240" simplePos="false">
                  <wp:simplePos x="0" y="0"/>
                  <wp:positionH relativeFrom="column">
                    <wp:posOffset>2526665</wp:posOffset>
                  </wp:positionH>
                  <wp:positionV relativeFrom="paragraph">
                    <wp:posOffset>7620</wp:posOffset>
                  </wp:positionV>
                  <wp:extent cx="927100" cy="800100"/>
                  <wp:wrapNone/>
                  <wp:docPr hidden="false" id="1" name="Picture 1"/>
                  <a:graphic>
                    <a:graphicData uri="http://schemas.openxmlformats.org/drawingml/2006/picture">
                      <pic:pic>
                        <pic:nvPicPr>
                          <pic:cNvPr hidden="false" id="2" name="Picture 2"/>
                          <pic:cNvPicPr preferRelativeResize="true"/>
                        </pic:nvPicPr>
                        <pic:blipFill>
                          <a:blip r:embed="rId2"/>
                          <a:srcRect b="0" l="0" r="0" t="0"/>
                          <a:stretch/>
                        </pic:blipFill>
                        <pic:spPr>
                          <a:xfrm flipH="false" flipV="false" rot="0">
                            <a:ext cx="927100" cy="8001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  <w:p w14:paraId="03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</w:p>
          <w:p w14:paraId="04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САВЕТ МІНІСТРАЎ</w:t>
            </w:r>
          </w:p>
          <w:p w14:paraId="05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РЭСПУБЛІКІ БЕЛАРУСЬ</w:t>
            </w:r>
          </w:p>
          <w:p w14:paraId="06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</w:p>
        </w:tc>
        <w:tc>
          <w:tcPr>
            <w:tcW w:type="dxa" w:w="1436"/>
          </w:tcPr>
          <w:p w14:paraId="07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</w:p>
        </w:tc>
        <w:tc>
          <w:tcPr>
            <w:tcW w:type="dxa" w:w="4218"/>
          </w:tcPr>
          <w:p w14:paraId="08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</w:p>
          <w:p w14:paraId="09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</w:p>
          <w:p w14:paraId="0A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СОВЕТ МИНИСТРОВ</w:t>
            </w:r>
          </w:p>
          <w:p w14:paraId="0B000000">
            <w:pPr>
              <w:widowControl w:val="1"/>
              <w:ind w:firstLine="0"/>
              <w:jc w:val="both"/>
              <w:rPr>
                <w:b w:val="1"/>
                <w:color w:val="000000"/>
              </w:rPr>
            </w:pPr>
            <w:r>
              <w:rPr>
                <w:b w:val="1"/>
                <w:color w:val="000000"/>
              </w:rPr>
              <w:t>РЕСПУБЛИКИ БЕЛАРУСЬ</w:t>
            </w:r>
          </w:p>
          <w:p w14:paraId="0C000000">
            <w:pPr>
              <w:widowControl w:val="1"/>
              <w:ind w:firstLine="0"/>
              <w:jc w:val="center"/>
              <w:rPr>
                <w:b w:val="1"/>
                <w:color w:val="000000"/>
              </w:rPr>
            </w:pPr>
          </w:p>
        </w:tc>
      </w:tr>
      <w:tr>
        <w:trPr>
          <w:trHeight w:hRule="atLeast" w:val="720"/>
        </w:trPr>
        <w:tc>
          <w:tcPr>
            <w:tcW w:type="dxa" w:w="4127"/>
            <w:vAlign w:val="center"/>
          </w:tcPr>
          <w:p w14:paraId="0D000000">
            <w:pPr>
              <w:widowControl w:val="1"/>
              <w:ind w:firstLine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ПАСТАНОВА</w:t>
            </w:r>
          </w:p>
        </w:tc>
        <w:tc>
          <w:tcPr>
            <w:tcW w:type="dxa" w:w="1436"/>
            <w:vAlign w:val="center"/>
          </w:tcPr>
          <w:p w14:paraId="0E000000">
            <w:pPr>
              <w:widowControl w:val="1"/>
              <w:ind w:firstLine="0"/>
              <w:jc w:val="center"/>
              <w:rPr>
                <w:color w:val="000000"/>
                <w:sz w:val="28"/>
              </w:rPr>
            </w:pPr>
          </w:p>
        </w:tc>
        <w:tc>
          <w:tcPr>
            <w:tcW w:type="dxa" w:w="4218"/>
            <w:vAlign w:val="center"/>
          </w:tcPr>
          <w:p w14:paraId="0F000000">
            <w:pPr>
              <w:widowControl w:val="1"/>
              <w:ind w:firstLine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ПОСТАНОВЛЕНИЕ</w:t>
            </w:r>
          </w:p>
        </w:tc>
      </w:tr>
    </w:tbl>
    <w:p w14:paraId="10000000">
      <w:pPr>
        <w:widowControl w:val="1"/>
        <w:spacing w:line="192" w:lineRule="auto"/>
        <w:ind w:firstLine="0"/>
        <w:jc w:val="both"/>
        <w:rPr/>
      </w:pPr>
    </w:p>
    <w:tbl>
      <w:tblPr>
        <w:tblStyle w:val="Style_2"/>
        <w:tblW w:type="auto" w:w="0"/>
        <w:tblLayout w:type="fixed"/>
      </w:tblPr>
      <w:tblGrid>
        <w:gridCol w:w="2953"/>
        <w:gridCol w:w="390"/>
        <w:gridCol w:w="612"/>
        <w:gridCol w:w="589"/>
        <w:gridCol w:w="1019"/>
        <w:gridCol w:w="4218"/>
      </w:tblGrid>
      <w:tr>
        <w:tc>
          <w:tcPr>
            <w:tcW w:type="dxa" w:w="2953"/>
            <w:tcBorders>
              <w:top w:sz="4" w:val="nil"/>
              <w:left w:sz="4" w:val="nil"/>
              <w:bottom w:color="000000" w:sz="8" w:val="single"/>
              <w:right w:sz="4" w:val="nil"/>
            </w:tcBorders>
          </w:tcPr>
          <w:p w14:paraId="11000000">
            <w:pPr>
              <w:widowControl w:val="1"/>
              <w:ind w:firstLine="0"/>
              <w:jc w:val="both"/>
              <w:rPr>
                <w:color w:val="000000"/>
              </w:rPr>
            </w:pPr>
            <w:r>
              <w:t xml:space="preserve">27 января </w:t>
            </w:r>
            <w:r>
              <w:t>2026 г.</w:t>
            </w:r>
          </w:p>
        </w:tc>
        <w:tc>
          <w:tcPr>
            <w:tcW w:type="dxa" w:w="390"/>
            <w:vAlign w:val="bottom"/>
          </w:tcPr>
          <w:p w14:paraId="12000000">
            <w:pPr>
              <w:widowControl w:val="1"/>
              <w:ind w:firstLine="0" w:left="-113" w:right="-113"/>
              <w:jc w:val="both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type="dxa" w:w="1201"/>
            <w:gridSpan w:val="2"/>
            <w:tcBorders>
              <w:top w:sz="4" w:val="nil"/>
              <w:left w:sz="4" w:val="nil"/>
              <w:bottom w:color="000000" w:sz="8" w:val="single"/>
              <w:right w:sz="4" w:val="nil"/>
            </w:tcBorders>
          </w:tcPr>
          <w:p w14:paraId="13000000">
            <w:pPr>
              <w:widowControl w:val="1"/>
              <w:ind w:firstLine="0" w:left="-113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  <w:r>
              <w:rPr>
                <w:color w:val="000000"/>
              </w:rPr>
              <w:t>7</w:t>
            </w:r>
          </w:p>
        </w:tc>
        <w:tc>
          <w:tcPr>
            <w:tcW w:type="dxa" w:w="5237"/>
            <w:gridSpan w:val="2"/>
          </w:tcPr>
          <w:p w14:paraId="14000000">
            <w:pPr>
              <w:widowControl w:val="1"/>
              <w:ind w:firstLine="0"/>
              <w:jc w:val="both"/>
              <w:rPr>
                <w:color w:val="000000"/>
              </w:rPr>
            </w:pPr>
          </w:p>
        </w:tc>
      </w:tr>
      <w:tr>
        <w:tc>
          <w:tcPr>
            <w:tcW w:type="dxa" w:w="9781"/>
            <w:gridSpan w:val="6"/>
          </w:tcPr>
          <w:p w14:paraId="15000000">
            <w:pPr>
              <w:widowControl w:val="1"/>
              <w:ind w:firstLine="0" w:left="2727"/>
              <w:jc w:val="both"/>
              <w:rPr>
                <w:color w:val="000000"/>
              </w:rPr>
            </w:pPr>
          </w:p>
        </w:tc>
      </w:tr>
      <w:tr>
        <w:tc>
          <w:tcPr>
            <w:tcW w:type="dxa" w:w="3955"/>
            <w:gridSpan w:val="3"/>
          </w:tcPr>
          <w:p w14:paraId="16000000">
            <w:pPr>
              <w:widowControl w:val="1"/>
              <w:spacing w:before="80"/>
              <w:ind w:firstLine="0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                         г</w:t>
            </w:r>
            <w:r>
              <w:rPr>
                <w:color w:val="000000"/>
                <w:sz w:val="26"/>
              </w:rPr>
              <w:t xml:space="preserve">. </w:t>
            </w:r>
            <w:r>
              <w:rPr>
                <w:color w:val="000000"/>
                <w:sz w:val="26"/>
              </w:rPr>
              <w:t>Мінск</w:t>
            </w:r>
          </w:p>
        </w:tc>
        <w:tc>
          <w:tcPr>
            <w:tcW w:type="dxa" w:w="1608"/>
            <w:gridSpan w:val="2"/>
          </w:tcPr>
          <w:p w14:paraId="17000000">
            <w:pPr>
              <w:widowControl w:val="1"/>
              <w:spacing w:before="240"/>
              <w:ind w:firstLine="0"/>
              <w:jc w:val="center"/>
              <w:rPr>
                <w:color w:val="000000"/>
                <w:sz w:val="26"/>
              </w:rPr>
            </w:pPr>
          </w:p>
        </w:tc>
        <w:tc>
          <w:tcPr>
            <w:tcW w:type="dxa" w:w="4218"/>
          </w:tcPr>
          <w:p w14:paraId="18000000">
            <w:pPr>
              <w:widowControl w:val="1"/>
              <w:spacing w:before="80"/>
              <w:ind w:firstLine="0"/>
              <w:jc w:val="both"/>
              <w:rPr>
                <w:color w:val="000000"/>
                <w:sz w:val="26"/>
              </w:rPr>
            </w:pPr>
            <w:r>
              <w:rPr>
                <w:color w:val="000000"/>
                <w:sz w:val="26"/>
              </w:rPr>
              <w:t xml:space="preserve">                     г</w:t>
            </w:r>
            <w:r>
              <w:rPr>
                <w:color w:val="000000"/>
                <w:sz w:val="26"/>
              </w:rPr>
              <w:t xml:space="preserve">. Минск </w:t>
            </w:r>
          </w:p>
        </w:tc>
      </w:tr>
    </w:tbl>
    <w:p w14:paraId="19000000">
      <w:pPr>
        <w:widowControl w:val="1"/>
        <w:spacing w:line="280" w:lineRule="exact"/>
        <w:ind w:firstLine="0"/>
        <w:jc w:val="both"/>
      </w:pPr>
    </w:p>
    <w:p w14:paraId="1A000000">
      <w:pPr>
        <w:widowControl w:val="1"/>
        <w:spacing w:line="280" w:lineRule="exact"/>
        <w:ind w:firstLine="0"/>
        <w:jc w:val="both"/>
      </w:pPr>
    </w:p>
    <w:p w14:paraId="1B000000">
      <w:pPr>
        <w:widowControl w:val="1"/>
        <w:spacing w:line="280" w:lineRule="exact"/>
        <w:ind w:firstLine="0" w:right="4961"/>
        <w:jc w:val="both"/>
        <w:rPr>
          <w:spacing w:val="-4"/>
        </w:rPr>
      </w:pPr>
    </w:p>
    <w:p w14:paraId="1C000000">
      <w:pPr>
        <w:widowControl w:val="1"/>
        <w:spacing w:line="280" w:lineRule="exact"/>
        <w:ind w:firstLine="0" w:right="4820"/>
        <w:jc w:val="both"/>
      </w:pPr>
      <w:r>
        <w:t>Об изменении постановлений</w:t>
      </w:r>
      <w:r>
        <w:t xml:space="preserve"> </w:t>
      </w:r>
      <w:r>
        <w:t>Совета</w:t>
      </w:r>
      <w:r>
        <w:t xml:space="preserve"> Министров Республики Беларусь </w:t>
      </w:r>
    </w:p>
    <w:p w14:paraId="1D000000">
      <w:pPr>
        <w:widowControl w:val="1"/>
        <w:ind/>
        <w:jc w:val="both"/>
      </w:pPr>
    </w:p>
    <w:p w14:paraId="1E000000">
      <w:pPr>
        <w:widowControl w:val="1"/>
        <w:ind/>
        <w:jc w:val="both"/>
      </w:pPr>
      <w:r>
        <w:t>На основании части</w:t>
      </w:r>
      <w:r>
        <w:t xml:space="preserve"> четвертой</w:t>
      </w:r>
      <w:r>
        <w:t xml:space="preserve"> статьи </w:t>
      </w:r>
      <w:r>
        <w:t>170 Кодекса Республики Беларус</w:t>
      </w:r>
      <w:r>
        <w:t>ь</w:t>
      </w:r>
      <w:r>
        <w:t xml:space="preserve"> о браке и </w:t>
      </w:r>
      <w:r>
        <w:t xml:space="preserve">семье, </w:t>
      </w:r>
      <w:r>
        <w:rPr>
          <w:spacing w:val="-8"/>
        </w:rPr>
        <w:t>части третьей</w:t>
      </w:r>
      <w:r>
        <w:rPr>
          <w:spacing w:val="-8"/>
        </w:rPr>
        <w:t xml:space="preserve"> </w:t>
      </w:r>
      <w:r>
        <w:rPr>
          <w:spacing w:val="-8"/>
        </w:rPr>
        <w:t xml:space="preserve">пункта 4 </w:t>
      </w:r>
      <w:r>
        <w:rPr>
          <w:spacing w:val="-8"/>
        </w:rPr>
        <w:t>статьи</w:t>
      </w:r>
      <w:r>
        <w:rPr>
          <w:spacing w:val="-8"/>
        </w:rPr>
        <w:t xml:space="preserve"> 209 </w:t>
      </w:r>
      <w:r>
        <w:rPr>
          <w:spacing w:val="-8"/>
        </w:rPr>
        <w:t>Код</w:t>
      </w:r>
      <w:r>
        <w:rPr>
          <w:spacing w:val="-8"/>
        </w:rPr>
        <w:t>э</w:t>
      </w:r>
      <w:r>
        <w:rPr>
          <w:spacing w:val="-8"/>
        </w:rPr>
        <w:t xml:space="preserve">кса </w:t>
      </w:r>
      <w:r>
        <w:t>Р</w:t>
      </w:r>
      <w:r>
        <w:t>э</w:t>
      </w:r>
      <w:r>
        <w:t>спубл</w:t>
      </w:r>
      <w:r>
        <w:t>і</w:t>
      </w:r>
      <w:r>
        <w:t>к</w:t>
      </w:r>
      <w:r>
        <w:t>і</w:t>
      </w:r>
      <w:r>
        <w:t xml:space="preserve"> Беларус</w:t>
      </w:r>
      <w:r>
        <w:t>ь</w:t>
      </w:r>
      <w:r>
        <w:rPr>
          <w:spacing w:val="-8"/>
        </w:rPr>
        <w:t xml:space="preserve"> </w:t>
      </w:r>
      <w:r>
        <w:rPr>
          <w:spacing w:val="-8"/>
        </w:rPr>
        <w:t>аб</w:t>
      </w:r>
      <w:r>
        <w:rPr>
          <w:spacing w:val="-8"/>
        </w:rPr>
        <w:t xml:space="preserve"> культур</w:t>
      </w:r>
      <w:r>
        <w:rPr>
          <w:spacing w:val="-8"/>
        </w:rPr>
        <w:t>ы</w:t>
      </w:r>
      <w:r>
        <w:rPr>
          <w:spacing w:val="-8"/>
        </w:rPr>
        <w:t>,</w:t>
      </w:r>
      <w:r>
        <w:rPr>
          <w:spacing w:val="-8"/>
        </w:rPr>
        <w:t xml:space="preserve"> </w:t>
      </w:r>
      <w:r>
        <w:t>частей третьей и четвертой статьи 37</w:t>
      </w:r>
      <w:r>
        <w:rPr>
          <w:vertAlign w:val="superscript"/>
        </w:rPr>
        <w:t>2</w:t>
      </w:r>
      <w:r>
        <w:t xml:space="preserve"> Закона Республики Беларусь от 19 ноября 1993 г. № 2570-XII </w:t>
      </w:r>
      <w:r>
        <w:t>”</w:t>
      </w:r>
      <w:r>
        <w:t>О правах ребенка</w:t>
      </w:r>
      <w:r>
        <w:t>“</w:t>
      </w:r>
      <w:r>
        <w:t>, подпунк</w:t>
      </w:r>
      <w:r>
        <w:t>т</w:t>
      </w:r>
      <w:r>
        <w:t>а 1.2 пунк</w:t>
      </w:r>
      <w:r>
        <w:t xml:space="preserve">та 1 статьи 6 Закона Республики Беларусь от 8 января </w:t>
      </w:r>
      <w:r>
        <w:t>2</w:t>
      </w:r>
      <w:r>
        <w:t>014 г. № 1</w:t>
      </w:r>
      <w:r>
        <w:t xml:space="preserve">28-З </w:t>
      </w:r>
      <w:r>
        <w:t>”</w:t>
      </w:r>
      <w:r>
        <w:t xml:space="preserve">О государственном регулировании </w:t>
      </w:r>
      <w:r>
        <w:t>т</w:t>
      </w:r>
      <w:r>
        <w:t>орговли и о</w:t>
      </w:r>
      <w:r>
        <w:t>бщественного</w:t>
      </w:r>
      <w:r>
        <w:t xml:space="preserve"> питания</w:t>
      </w:r>
      <w:r>
        <w:t>“</w:t>
      </w:r>
      <w:r>
        <w:t xml:space="preserve"> </w:t>
      </w:r>
      <w:r>
        <w:t>Совет Министров Республики Б</w:t>
      </w:r>
      <w:r>
        <w:t>еларусь ПОСТАНОВЛЯЕТ:</w:t>
      </w:r>
    </w:p>
    <w:p w14:paraId="1F000000">
      <w:pPr>
        <w:widowControl w:val="1"/>
        <w:ind/>
        <w:jc w:val="both"/>
        <w:rPr>
          <w:color w:val="000000"/>
        </w:rPr>
      </w:pPr>
      <w:r>
        <w:t>1. </w:t>
      </w:r>
      <w:r>
        <w:rPr>
          <w:color w:val="000000"/>
        </w:rPr>
        <w:t>Включить в состав Белорусс</w:t>
      </w:r>
      <w:r>
        <w:rPr>
          <w:color w:val="000000"/>
        </w:rPr>
        <w:t>кого государственного концерна</w:t>
      </w:r>
      <w:r>
        <w:rPr>
          <w:color w:val="000000"/>
        </w:rPr>
        <w:t xml:space="preserve"> по производству и реализации товаров легкой промышленно</w:t>
      </w:r>
      <w:r>
        <w:rPr>
          <w:color w:val="000000"/>
        </w:rPr>
        <w:t xml:space="preserve">сти общество с ограниченной ответственностью </w:t>
      </w:r>
      <w:r>
        <w:rPr>
          <w:color w:val="000000"/>
        </w:rPr>
        <w:t>”</w:t>
      </w:r>
      <w:r>
        <w:rPr>
          <w:color w:val="000000"/>
        </w:rPr>
        <w:t>Группа компаний Стецкевич</w:t>
      </w:r>
      <w:r>
        <w:rPr>
          <w:color w:val="000000"/>
        </w:rPr>
        <w:t>“</w:t>
      </w:r>
      <w:r>
        <w:rPr>
          <w:color w:val="000000"/>
        </w:rPr>
        <w:t>.</w:t>
      </w:r>
    </w:p>
    <w:p w14:paraId="20000000">
      <w:pPr>
        <w:widowControl w:val="1"/>
        <w:ind/>
        <w:jc w:val="both"/>
      </w:pPr>
      <w:r>
        <w:t>2. </w:t>
      </w:r>
      <w:r>
        <w:t xml:space="preserve">Внести изменения в </w:t>
      </w:r>
      <w:r>
        <w:t>следующие постановления Совета Министр</w:t>
      </w:r>
      <w:r>
        <w:t>ов Республики Беларусь:</w:t>
      </w:r>
    </w:p>
    <w:p w14:paraId="21000000">
      <w:pPr>
        <w:widowControl w:val="1"/>
        <w:ind/>
        <w:jc w:val="both"/>
      </w:pPr>
      <w:r>
        <w:t>2.1.</w:t>
      </w:r>
      <w:r>
        <w:t> </w:t>
      </w:r>
      <w:r>
        <w:t xml:space="preserve">в </w:t>
      </w:r>
      <w:r>
        <w:t>приложени</w:t>
      </w:r>
      <w:r>
        <w:t>и</w:t>
      </w:r>
      <w:r>
        <w:t xml:space="preserve"> к Уставу Белорусского го</w:t>
      </w:r>
      <w:r>
        <w:t>сударственного концерн</w:t>
      </w:r>
      <w:r>
        <w:t xml:space="preserve">а </w:t>
      </w:r>
      <w:r>
        <w:t>по</w:t>
      </w:r>
      <w:r>
        <w:t xml:space="preserve"> производству и реализации товаров легкой промышленности</w:t>
      </w:r>
      <w:r>
        <w:t>,</w:t>
      </w:r>
      <w:r>
        <w:t xml:space="preserve"> </w:t>
      </w:r>
      <w:r>
        <w:t xml:space="preserve">утвержденному </w:t>
      </w:r>
      <w:r>
        <w:t>постановлени</w:t>
      </w:r>
      <w:r>
        <w:t>ем</w:t>
      </w:r>
      <w:r>
        <w:t xml:space="preserve"> Совета Министров Респ</w:t>
      </w:r>
      <w:r>
        <w:t>ублики Беларусь от</w:t>
      </w:r>
      <w:r>
        <w:t xml:space="preserve"> 24</w:t>
      </w:r>
      <w:r>
        <w:t> </w:t>
      </w:r>
      <w:r>
        <w:t>февраля 1994 г. № 99</w:t>
      </w:r>
      <w:r>
        <w:t>:</w:t>
      </w:r>
    </w:p>
    <w:p w14:paraId="22000000">
      <w:pPr>
        <w:widowControl w:val="1"/>
        <w:ind/>
        <w:jc w:val="both"/>
      </w:pPr>
      <w:r>
        <w:t>из</w:t>
      </w:r>
      <w:r>
        <w:t xml:space="preserve"> раздел</w:t>
      </w:r>
      <w:r>
        <w:t>а</w:t>
      </w:r>
      <w:r>
        <w:t xml:space="preserve"> </w:t>
      </w:r>
      <w:r>
        <w:t>”</w:t>
      </w:r>
      <w:r>
        <w:t>Государственные юридические лица</w:t>
      </w:r>
      <w:r>
        <w:t>“</w:t>
      </w:r>
      <w:r>
        <w:t xml:space="preserve"> </w:t>
      </w:r>
      <w:r>
        <w:t>пункт 13 исключить;</w:t>
      </w:r>
    </w:p>
    <w:p w14:paraId="23000000">
      <w:pPr>
        <w:widowControl w:val="1"/>
        <w:ind/>
        <w:jc w:val="both"/>
      </w:pPr>
      <w:r>
        <w:t xml:space="preserve">в разделе </w:t>
      </w:r>
      <w:r>
        <w:t>”</w:t>
      </w:r>
      <w:r>
        <w:t>Н</w:t>
      </w:r>
      <w:r>
        <w:t>е</w:t>
      </w:r>
      <w:r>
        <w:t>государственные юридические лица</w:t>
      </w:r>
      <w:r>
        <w:t>“</w:t>
      </w:r>
      <w:r>
        <w:t>:</w:t>
      </w:r>
    </w:p>
    <w:p w14:paraId="24000000">
      <w:pPr>
        <w:widowControl w:val="1"/>
        <w:ind/>
        <w:jc w:val="both"/>
      </w:pPr>
      <w:r>
        <w:t>д</w:t>
      </w:r>
      <w:r>
        <w:t>о</w:t>
      </w:r>
      <w:r>
        <w:t>полнить раздел пунктом 107 следующего содержания:</w:t>
      </w:r>
    </w:p>
    <w:p w14:paraId="25000000">
      <w:pPr>
        <w:widowControl w:val="1"/>
        <w:ind/>
        <w:jc w:val="both"/>
      </w:pPr>
      <w:r>
        <w:t>”</w:t>
      </w:r>
      <w:r>
        <w:t>107.</w:t>
      </w:r>
      <w:r>
        <w:t> </w:t>
      </w:r>
      <w:r>
        <w:t xml:space="preserve">Общество с ограниченной ответственностью </w:t>
      </w:r>
      <w:r>
        <w:t>”</w:t>
      </w:r>
      <w:r>
        <w:t>Группа компаний Стецкевич</w:t>
      </w:r>
      <w:r>
        <w:t>“</w:t>
      </w:r>
      <w:r>
        <w:t>.</w:t>
      </w:r>
      <w:r>
        <w:t>“</w:t>
      </w:r>
      <w:r>
        <w:t>;</w:t>
      </w:r>
      <w:r>
        <w:t> </w:t>
      </w:r>
    </w:p>
    <w:p w14:paraId="26000000">
      <w:pPr>
        <w:widowControl w:val="1"/>
        <w:ind/>
        <w:jc w:val="both"/>
      </w:pPr>
      <w:r>
        <w:t>пункт 110 исключить</w:t>
      </w:r>
      <w:r>
        <w:t>;</w:t>
      </w:r>
    </w:p>
    <w:p w14:paraId="27000000">
      <w:pPr>
        <w:widowControl w:val="1"/>
        <w:ind/>
        <w:jc w:val="both"/>
      </w:pPr>
      <w:r>
        <w:t>2</w:t>
      </w:r>
      <w:r>
        <w:t>.</w:t>
      </w:r>
      <w:r>
        <w:t>2</w:t>
      </w:r>
      <w:r>
        <w:t>.</w:t>
      </w:r>
      <w:r>
        <w:t> </w:t>
      </w:r>
      <w:r>
        <w:t>в Положении о приемной семье, утвер</w:t>
      </w:r>
      <w:r>
        <w:t>жденном по</w:t>
      </w:r>
      <w:r>
        <w:t>становлени</w:t>
      </w:r>
      <w:r>
        <w:t>ем Совет</w:t>
      </w:r>
      <w:r>
        <w:t>а Минис</w:t>
      </w:r>
      <w:r>
        <w:t>тров Республики Беларусь от 28 октября 1999 г. № 16</w:t>
      </w:r>
      <w:r>
        <w:t>78:</w:t>
      </w:r>
    </w:p>
    <w:p w14:paraId="28000000">
      <w:pPr>
        <w:widowControl w:val="1"/>
        <w:ind/>
        <w:jc w:val="both"/>
      </w:pPr>
      <w:r>
        <w:t>абзац первый части второй пункта 6 после слова ”необходимости“ дополнить словами ”, лекарственными сре</w:t>
      </w:r>
      <w:r>
        <w:t>дствами и медицинскими</w:t>
      </w:r>
      <w:r>
        <w:br/>
      </w:r>
      <w:r>
        <w:t>из</w:t>
      </w:r>
      <w:r>
        <w:t>делиями (изделиями медицинского назначения, меди</w:t>
      </w:r>
      <w:r>
        <w:t>ц</w:t>
      </w:r>
      <w:r>
        <w:t xml:space="preserve">инской техникой), </w:t>
      </w:r>
      <w:r>
        <w:t>в том числе очками</w:t>
      </w:r>
      <w:r>
        <w:t xml:space="preserve">, а также по </w:t>
      </w:r>
      <w:r>
        <w:t>достижении возраста 7 лет –</w:t>
      </w:r>
      <w:r>
        <w:t xml:space="preserve"> денежными средствами на ли</w:t>
      </w:r>
      <w:r>
        <w:t>чные расходы“;</w:t>
      </w:r>
    </w:p>
    <w:p w14:paraId="29000000">
      <w:pPr>
        <w:widowControl w:val="1"/>
        <w:ind/>
        <w:jc w:val="both"/>
      </w:pPr>
      <w:r>
        <w:t>пункт 13 изложить в следующей редакции:</w:t>
      </w:r>
    </w:p>
    <w:p w14:paraId="2A000000">
      <w:pPr>
        <w:widowControl w:val="1"/>
        <w:ind/>
        <w:jc w:val="both"/>
      </w:pPr>
      <w:r>
        <w:t xml:space="preserve">”13. Управление (отдел) </w:t>
      </w:r>
      <w:r>
        <w:t>образования прекращает р</w:t>
      </w:r>
      <w:r>
        <w:t>а</w:t>
      </w:r>
      <w:r>
        <w:t xml:space="preserve">боту с кандидатом в приемные родители и готовит </w:t>
      </w:r>
      <w:r>
        <w:t>п</w:t>
      </w:r>
      <w:r>
        <w:t>роект решения орга</w:t>
      </w:r>
      <w:r>
        <w:t>на опеки и попечит</w:t>
      </w:r>
      <w:r>
        <w:t>ельства об от</w:t>
      </w:r>
      <w:r>
        <w:t>казе в осуществлении админи</w:t>
      </w:r>
      <w:r>
        <w:t>стративной процедуры, указа</w:t>
      </w:r>
      <w:r>
        <w:t>нной в пункте 4.6 перечня, в течение трех рабочих дней со дня поступления инфор</w:t>
      </w:r>
      <w:r>
        <w:t>мации:</w:t>
      </w:r>
    </w:p>
    <w:p w14:paraId="2B000000">
      <w:pPr>
        <w:widowControl w:val="1"/>
        <w:ind/>
        <w:jc w:val="both"/>
      </w:pPr>
      <w:r>
        <w:t>о наличии в отноше</w:t>
      </w:r>
      <w:r>
        <w:t>нии кандидата в приемные родители сведений, в со</w:t>
      </w:r>
      <w:r>
        <w:t>о</w:t>
      </w:r>
      <w:r>
        <w:t>тветствии с которы</w:t>
      </w:r>
      <w:r>
        <w:t>ми он не может быт</w:t>
      </w:r>
      <w:r>
        <w:t xml:space="preserve">ь кандидатом </w:t>
      </w:r>
      <w:r>
        <w:t>в приемные родители, указан</w:t>
      </w:r>
      <w:r>
        <w:t>ных в части первой статьи 1</w:t>
      </w:r>
      <w:r>
        <w:t>72 Кодекса Республики Беларусь о браке и семье, части первой статьи 27</w:t>
      </w:r>
      <w:r>
        <w:rPr>
          <w:vertAlign w:val="superscript"/>
        </w:rPr>
        <w:t>1</w:t>
      </w:r>
      <w:r>
        <w:t xml:space="preserve"> Закона </w:t>
      </w:r>
      <w:r>
        <w:t>Республи</w:t>
      </w:r>
      <w:r>
        <w:t xml:space="preserve">ки Беларусь </w:t>
      </w:r>
      <w:r>
        <w:t>от 19</w:t>
      </w:r>
      <w:r>
        <w:t xml:space="preserve"> ноября 1993 г. № 2570-XII</w:t>
      </w:r>
      <w:r>
        <w:t xml:space="preserve"> ”О правах ребенка“;</w:t>
      </w:r>
    </w:p>
    <w:p w14:paraId="2C000000">
      <w:pPr>
        <w:widowControl w:val="1"/>
        <w:ind/>
        <w:jc w:val="both"/>
      </w:pPr>
      <w:r>
        <w:t xml:space="preserve">о </w:t>
      </w:r>
      <w:r>
        <w:t>не</w:t>
      </w:r>
      <w:r>
        <w:t>освоении кандида</w:t>
      </w:r>
      <w:r>
        <w:t>том в приемные р</w:t>
      </w:r>
      <w:r>
        <w:t>одители образовательной программы обучающи</w:t>
      </w:r>
      <w:r>
        <w:t>х курсов;</w:t>
      </w:r>
    </w:p>
    <w:p w14:paraId="2D000000">
      <w:pPr>
        <w:widowControl w:val="1"/>
        <w:ind/>
        <w:jc w:val="both"/>
      </w:pPr>
      <w:r>
        <w:t>о включении в акт обследования</w:t>
      </w:r>
      <w:r>
        <w:t xml:space="preserve"> </w:t>
      </w:r>
      <w:r>
        <w:t>условий жизни кандидатов в приемные родители</w:t>
      </w:r>
      <w:r>
        <w:t xml:space="preserve"> заключения об отсутствии в семье кандидата в приемные родители ус</w:t>
      </w:r>
      <w:r>
        <w:t>ловий, н</w:t>
      </w:r>
      <w:r>
        <w:t>еобходимых для во</w:t>
      </w:r>
      <w:r>
        <w:t>спитания детей.</w:t>
      </w:r>
    </w:p>
    <w:p w14:paraId="2E000000">
      <w:pPr>
        <w:widowControl w:val="1"/>
        <w:ind/>
        <w:jc w:val="both"/>
      </w:pPr>
      <w:r>
        <w:t>В случ</w:t>
      </w:r>
      <w:r>
        <w:t>ае при</w:t>
      </w:r>
      <w:r>
        <w:t>нятия органом опеки и</w:t>
      </w:r>
      <w:r>
        <w:t xml:space="preserve"> попечительства решения об отка</w:t>
      </w:r>
      <w:r>
        <w:t>зе</w:t>
      </w:r>
      <w:r>
        <w:t xml:space="preserve"> в передаче ребенка (детей) на воспитание в приемную семью</w:t>
      </w:r>
      <w:r>
        <w:t xml:space="preserve"> управление </w:t>
      </w:r>
      <w:r>
        <w:t>(отдел) образования возвращает заявителю все документы вместе с решением органа</w:t>
      </w:r>
      <w:r>
        <w:t xml:space="preserve"> опеки и</w:t>
      </w:r>
      <w:r>
        <w:t xml:space="preserve"> попечительства.“;</w:t>
      </w:r>
    </w:p>
    <w:p w14:paraId="2F000000">
      <w:pPr>
        <w:widowControl w:val="1"/>
        <w:ind/>
        <w:jc w:val="both"/>
      </w:pPr>
      <w:r>
        <w:t>пункт 50 иск</w:t>
      </w:r>
      <w:r>
        <w:t>лючить;</w:t>
      </w:r>
    </w:p>
    <w:p w14:paraId="30000000">
      <w:pPr>
        <w:widowControl w:val="1"/>
        <w:ind/>
        <w:jc w:val="both"/>
      </w:pPr>
      <w:r>
        <w:t>в пункте 3 приложения 1 к э</w:t>
      </w:r>
      <w:r>
        <w:t>тому Положению:</w:t>
      </w:r>
    </w:p>
    <w:p w14:paraId="31000000">
      <w:pPr>
        <w:widowControl w:val="1"/>
        <w:ind/>
        <w:jc w:val="both"/>
      </w:pPr>
      <w:r>
        <w:t>абзац четырнадц</w:t>
      </w:r>
      <w:r>
        <w:t xml:space="preserve">атый подпункта </w:t>
      </w:r>
      <w:r>
        <w:t>3.1 изложить в следующей редакции:</w:t>
      </w:r>
    </w:p>
    <w:p w14:paraId="32000000">
      <w:pPr>
        <w:widowControl w:val="1"/>
        <w:ind/>
        <w:jc w:val="both"/>
      </w:pPr>
      <w:r>
        <w:t>”используют полученные</w:t>
      </w:r>
      <w:r>
        <w:t xml:space="preserve"> ежемесячные денежные выплаты на удовлетворение потребностей ребенка (детей), о</w:t>
      </w:r>
      <w:r>
        <w:t>беспечен</w:t>
      </w:r>
      <w:r>
        <w:t>ие их одеждой, обувью, мягким и</w:t>
      </w:r>
      <w:r>
        <w:t>нвентаре</w:t>
      </w:r>
      <w:r>
        <w:t>м и обор</w:t>
      </w:r>
      <w:r>
        <w:t>удованием, учебника</w:t>
      </w:r>
      <w:r>
        <w:t>ми, учебными пособиями и принад</w:t>
      </w:r>
      <w:r>
        <w:t>лежн</w:t>
      </w:r>
      <w:r>
        <w:t>остями, предметами личной гигиены, иными предмет</w:t>
      </w:r>
      <w:r>
        <w:t>ами первой необходим</w:t>
      </w:r>
      <w:r>
        <w:t>ости, лекарственными средствами и медицинскими изделиями (изделиями медицинског</w:t>
      </w:r>
      <w:r>
        <w:t>о назнач</w:t>
      </w:r>
      <w:r>
        <w:t xml:space="preserve">ения, медицинской техникой), в </w:t>
      </w:r>
      <w:r>
        <w:t>том числ</w:t>
      </w:r>
      <w:r>
        <w:t>е очками</w:t>
      </w:r>
      <w:r>
        <w:t>, а также по достиж</w:t>
      </w:r>
      <w:r>
        <w:t xml:space="preserve">ении воспитанниками возраста 7 </w:t>
      </w:r>
      <w:r>
        <w:t xml:space="preserve">лет </w:t>
      </w:r>
      <w:r>
        <w:t>– на их личные расходы;“;</w:t>
      </w:r>
    </w:p>
    <w:p w14:paraId="33000000">
      <w:pPr>
        <w:widowControl w:val="1"/>
        <w:ind/>
        <w:jc w:val="both"/>
      </w:pPr>
      <w:r>
        <w:t>подпункт 3.3.1 после слова ”необходимости“</w:t>
      </w:r>
      <w:r>
        <w:t xml:space="preserve"> дополнить словами </w:t>
      </w:r>
      <w:r>
        <w:t>”,</w:t>
      </w:r>
      <w:r>
        <w:t> </w:t>
      </w:r>
      <w:r>
        <w:t>лекарственными средствами и медицинскими изделиями (издел</w:t>
      </w:r>
      <w:r>
        <w:t>иями мед</w:t>
      </w:r>
      <w:r>
        <w:t>ицинского назначения, медицинс</w:t>
      </w:r>
      <w:r>
        <w:t>кой техни</w:t>
      </w:r>
      <w:r>
        <w:t>кой), в т</w:t>
      </w:r>
      <w:r>
        <w:t>ом числе очками“;</w:t>
      </w:r>
    </w:p>
    <w:p w14:paraId="34000000">
      <w:pPr>
        <w:widowControl w:val="1"/>
        <w:ind/>
        <w:jc w:val="both"/>
      </w:pPr>
      <w:r>
        <w:t>подпункт 3.3.4 после слова ”нео</w:t>
      </w:r>
      <w:r>
        <w:t xml:space="preserve">бходимости“ дополнить словами </w:t>
      </w:r>
      <w:r>
        <w:t>”,</w:t>
      </w:r>
      <w:r>
        <w:t> </w:t>
      </w:r>
      <w:r>
        <w:t>лекарственными средствами и медицинск</w:t>
      </w:r>
      <w:r>
        <w:t>ими изделиями (изделиями медицинского назначения, медицинской техникой), в том чи</w:t>
      </w:r>
      <w:r>
        <w:t>сле очка</w:t>
      </w:r>
      <w:r>
        <w:t>ми, а также по достижении воз</w:t>
      </w:r>
      <w:r>
        <w:t>раста 7 ле</w:t>
      </w:r>
      <w:r>
        <w:t>т – денежн</w:t>
      </w:r>
      <w:r>
        <w:t xml:space="preserve">ыми средствами </w:t>
      </w:r>
      <w:r>
        <w:t>на</w:t>
      </w:r>
      <w:r>
        <w:t xml:space="preserve"> л</w:t>
      </w:r>
      <w:r>
        <w:t>ичные расходы“;</w:t>
      </w:r>
    </w:p>
    <w:p w14:paraId="35000000">
      <w:pPr>
        <w:widowControl w:val="1"/>
        <w:spacing w:after="120"/>
        <w:ind/>
        <w:jc w:val="both"/>
      </w:pPr>
      <w:r>
        <w:t>графу ”Наимен</w:t>
      </w:r>
      <w:r>
        <w:t>ование расход</w:t>
      </w:r>
      <w:r>
        <w:t>ов“ приложения 2 к этому Положению после позиции</w:t>
      </w:r>
    </w:p>
    <w:p w14:paraId="36000000">
      <w:pPr>
        <w:widowControl w:val="1"/>
        <w:spacing w:after="120" w:line="280" w:lineRule="exact"/>
        <w:ind w:firstLine="0"/>
        <w:jc w:val="both"/>
      </w:pPr>
      <w:r>
        <w:t>”Приобре</w:t>
      </w:r>
      <w:r>
        <w:t>тение учебников, учебных пособий и</w:t>
      </w:r>
      <w:r>
        <w:t xml:space="preserve"> </w:t>
      </w:r>
      <w:r>
        <w:t>принадлежностей“</w:t>
      </w:r>
    </w:p>
    <w:p w14:paraId="37000000">
      <w:pPr>
        <w:widowControl w:val="1"/>
        <w:spacing w:after="120"/>
        <w:ind w:firstLine="0"/>
        <w:jc w:val="both"/>
      </w:pPr>
      <w:r>
        <w:t>дополнить позицией</w:t>
      </w:r>
    </w:p>
    <w:p w14:paraId="38000000">
      <w:pPr>
        <w:widowControl w:val="1"/>
        <w:spacing w:after="120" w:line="280" w:lineRule="exact"/>
        <w:ind w:firstLine="0"/>
        <w:jc w:val="both"/>
      </w:pPr>
      <w:r>
        <w:t>”Приобрете</w:t>
      </w:r>
      <w:r>
        <w:t>ние лека</w:t>
      </w:r>
      <w:r>
        <w:t>рс</w:t>
      </w:r>
      <w:r>
        <w:t>твенных средств и медицинск</w:t>
      </w:r>
      <w:r>
        <w:t>их изделий</w:t>
      </w:r>
      <w:r>
        <w:t xml:space="preserve"> (изделий </w:t>
      </w:r>
      <w:r>
        <w:t>медицинского на</w:t>
      </w:r>
      <w:r>
        <w:t>зн</w:t>
      </w:r>
      <w:r>
        <w:t>ач</w:t>
      </w:r>
      <w:r>
        <w:t>ения, ме</w:t>
      </w:r>
      <w:r>
        <w:t>дицинской техники), в</w:t>
      </w:r>
      <w:r>
        <w:t xml:space="preserve"> том числе очков“;</w:t>
      </w:r>
    </w:p>
    <w:p w14:paraId="39000000">
      <w:pPr>
        <w:widowControl w:val="1"/>
        <w:ind/>
        <w:jc w:val="both"/>
      </w:pPr>
      <w:r>
        <w:t>2</w:t>
      </w:r>
      <w:r>
        <w:t>.</w:t>
      </w:r>
      <w:r>
        <w:t>3</w:t>
      </w:r>
      <w:r>
        <w:t>. </w:t>
      </w:r>
      <w:r>
        <w:t xml:space="preserve">в Положении о детском </w:t>
      </w:r>
      <w:r>
        <w:t xml:space="preserve">доме семейного типа, утвержденном </w:t>
      </w:r>
      <w:r>
        <w:t xml:space="preserve">постановлением Совета Министров Республики Беларусь от 28 февраля 2006 </w:t>
      </w:r>
      <w:r>
        <w:t>г.</w:t>
      </w:r>
      <w:r>
        <w:t xml:space="preserve"> №</w:t>
      </w:r>
      <w:r>
        <w:t xml:space="preserve"> 2</w:t>
      </w:r>
      <w:r>
        <w:t>89:</w:t>
      </w:r>
    </w:p>
    <w:p w14:paraId="3A000000">
      <w:pPr>
        <w:widowControl w:val="1"/>
        <w:ind/>
        <w:jc w:val="both"/>
      </w:pPr>
      <w:r>
        <w:t>часть пе</w:t>
      </w:r>
      <w:r>
        <w:t>рвую и абзац первый</w:t>
      </w:r>
      <w:r>
        <w:t xml:space="preserve"> части вто</w:t>
      </w:r>
      <w:r>
        <w:t>рой пункт</w:t>
      </w:r>
      <w:r>
        <w:t xml:space="preserve">а 5 после слова </w:t>
      </w:r>
      <w:r>
        <w:t>”н</w:t>
      </w:r>
      <w:r>
        <w:t>ео</w:t>
      </w:r>
      <w:r>
        <w:t xml:space="preserve">бходимости“ </w:t>
      </w:r>
      <w:r>
        <w:t>дополнить словами</w:t>
      </w:r>
      <w:r>
        <w:t xml:space="preserve"> </w:t>
      </w:r>
      <w:bookmarkStart w:id="1" w:name="_Hlk215562917"/>
      <w:r>
        <w:t>”, лекарственным</w:t>
      </w:r>
      <w:r>
        <w:t>и средствами и медицинскими изделиями (изделиями медицинского назначения, медицинской техникой), в том числе очками, а также по достиж</w:t>
      </w:r>
      <w:r>
        <w:t>ении воз</w:t>
      </w:r>
      <w:r>
        <w:t>раста 7 ле</w:t>
      </w:r>
      <w:r>
        <w:t>т – денежными средс</w:t>
      </w:r>
      <w:r>
        <w:t>твами на л</w:t>
      </w:r>
      <w:r>
        <w:t>ичные рас</w:t>
      </w:r>
      <w:r>
        <w:t>ходы</w:t>
      </w:r>
      <w:bookmarkEnd w:id="1"/>
      <w:r>
        <w:t>“;</w:t>
      </w:r>
    </w:p>
    <w:p w14:paraId="3B000000">
      <w:pPr>
        <w:widowControl w:val="1"/>
        <w:ind/>
        <w:jc w:val="both"/>
      </w:pPr>
      <w:r>
        <w:t xml:space="preserve">пункт 12 </w:t>
      </w:r>
      <w:r>
        <w:t>ис</w:t>
      </w:r>
      <w:r>
        <w:t>кл</w:t>
      </w:r>
      <w:r>
        <w:t>ючить</w:t>
      </w:r>
      <w:r>
        <w:t>;</w:t>
      </w:r>
    </w:p>
    <w:p w14:paraId="3C000000">
      <w:pPr>
        <w:widowControl w:val="1"/>
        <w:ind/>
        <w:jc w:val="both"/>
      </w:pPr>
      <w:r>
        <w:t>дополнить Положение пу</w:t>
      </w:r>
      <w:r>
        <w:t>нктом 14</w:t>
      </w:r>
      <w:r>
        <w:rPr>
          <w:vertAlign w:val="superscript"/>
        </w:rPr>
        <w:t xml:space="preserve">1 </w:t>
      </w:r>
      <w:r>
        <w:t>следующего содержания:</w:t>
      </w:r>
    </w:p>
    <w:p w14:paraId="3D000000">
      <w:pPr>
        <w:widowControl w:val="1"/>
        <w:ind/>
        <w:jc w:val="both"/>
      </w:pPr>
      <w:r>
        <w:t>”</w:t>
      </w:r>
      <w:bookmarkStart w:id="2" w:name="_Hlk215563003"/>
      <w:r>
        <w:t>14</w:t>
      </w:r>
      <w:r>
        <w:rPr>
          <w:vertAlign w:val="superscript"/>
        </w:rPr>
        <w:t>1</w:t>
      </w:r>
      <w:r>
        <w:t>. Управление (отдел) образования прекращает работу с кандидатом в родители-воспитатели и готовит проект решения ор</w:t>
      </w:r>
      <w:r>
        <w:t>гана опе</w:t>
      </w:r>
      <w:r>
        <w:t>ки и попеч</w:t>
      </w:r>
      <w:r>
        <w:t>ительства об отказе</w:t>
      </w:r>
      <w:r>
        <w:t xml:space="preserve"> в осущест</w:t>
      </w:r>
      <w:r>
        <w:t>влении ад</w:t>
      </w:r>
      <w:r>
        <w:t>министративной п</w:t>
      </w:r>
      <w:r>
        <w:t>ро</w:t>
      </w:r>
      <w:r>
        <w:t>це</w:t>
      </w:r>
      <w:r>
        <w:t>дуры, указан</w:t>
      </w:r>
      <w:r>
        <w:t xml:space="preserve">ной в пункте 4.7 </w:t>
      </w:r>
      <w:r>
        <w:t>перечня, в течени</w:t>
      </w:r>
      <w:r>
        <w:t>е трех рабочих дней со дня поступления информации:</w:t>
      </w:r>
    </w:p>
    <w:p w14:paraId="3E000000">
      <w:pPr>
        <w:widowControl w:val="1"/>
        <w:ind/>
        <w:jc w:val="both"/>
      </w:pPr>
      <w:r>
        <w:t>о наличии в отношении кандидата в родители-воспитатели сведений, в соответствии с к</w:t>
      </w:r>
      <w:r>
        <w:t xml:space="preserve">оторыми </w:t>
      </w:r>
      <w:r>
        <w:t>он не може</w:t>
      </w:r>
      <w:r>
        <w:t>т быть кандидатом в</w:t>
      </w:r>
      <w:r>
        <w:t xml:space="preserve"> приемные </w:t>
      </w:r>
      <w:r>
        <w:t>родители,</w:t>
      </w:r>
      <w:r>
        <w:t xml:space="preserve"> указанных в час</w:t>
      </w:r>
      <w:r>
        <w:t>ти</w:t>
      </w:r>
      <w:r>
        <w:t xml:space="preserve"> п</w:t>
      </w:r>
      <w:r>
        <w:t>ервой статьи</w:t>
      </w:r>
      <w:r>
        <w:t xml:space="preserve"> 172 Кодекса Респ</w:t>
      </w:r>
      <w:r>
        <w:t>ублики Беларусь о</w:t>
      </w:r>
      <w:r>
        <w:t xml:space="preserve"> браке и семье, части первой статьи 27</w:t>
      </w:r>
      <w:r>
        <w:rPr>
          <w:vertAlign w:val="superscript"/>
        </w:rPr>
        <w:t>1</w:t>
      </w:r>
      <w:r>
        <w:t xml:space="preserve"> Закона Республики Беларусь </w:t>
      </w:r>
      <w:r>
        <w:t>от 19 ноября 1993 г. № 2570-XII</w:t>
      </w:r>
      <w:r>
        <w:t xml:space="preserve"> ”О правах ребенка“;</w:t>
      </w:r>
    </w:p>
    <w:p w14:paraId="3F000000">
      <w:pPr>
        <w:widowControl w:val="1"/>
        <w:ind/>
        <w:jc w:val="both"/>
      </w:pPr>
      <w:r>
        <w:t>о неосвоении ка</w:t>
      </w:r>
      <w:r>
        <w:t>ндидатом</w:t>
      </w:r>
      <w:r>
        <w:t xml:space="preserve"> в роди</w:t>
      </w:r>
      <w:r>
        <w:t>тел</w:t>
      </w:r>
      <w:r>
        <w:t>и-воспитатели образ</w:t>
      </w:r>
      <w:r>
        <w:t>овательной</w:t>
      </w:r>
      <w:r>
        <w:t xml:space="preserve"> программ</w:t>
      </w:r>
      <w:r>
        <w:t>ы обучающих курс</w:t>
      </w:r>
      <w:r>
        <w:t>ов</w:t>
      </w:r>
      <w:r>
        <w:t>;</w:t>
      </w:r>
    </w:p>
    <w:p w14:paraId="40000000">
      <w:pPr>
        <w:widowControl w:val="1"/>
        <w:ind/>
        <w:jc w:val="both"/>
      </w:pPr>
      <w:r>
        <w:t>о включении в акт обследовани</w:t>
      </w:r>
      <w:r>
        <w:t xml:space="preserve">я заключения об отсутствии в </w:t>
      </w:r>
      <w:r>
        <w:t>семье кандидата в родители-воспитатели условий, необходимых для воспитания детей;</w:t>
      </w:r>
    </w:p>
    <w:p w14:paraId="41000000">
      <w:pPr>
        <w:widowControl w:val="1"/>
        <w:ind/>
        <w:jc w:val="both"/>
      </w:pPr>
      <w:r>
        <w:t>о невозможности соблюдения требования</w:t>
      </w:r>
      <w:r>
        <w:t>,</w:t>
      </w:r>
      <w:r>
        <w:t xml:space="preserve"> </w:t>
      </w:r>
      <w:r>
        <w:t>у</w:t>
      </w:r>
      <w:r>
        <w:t>к</w:t>
      </w:r>
      <w:r>
        <w:t>а</w:t>
      </w:r>
      <w:r>
        <w:t>занн</w:t>
      </w:r>
      <w:r>
        <w:t>ого в</w:t>
      </w:r>
      <w:r>
        <w:t xml:space="preserve"> пункт</w:t>
      </w:r>
      <w:r>
        <w:t>е</w:t>
      </w:r>
      <w:r>
        <w:t xml:space="preserve"> 8 настоящего </w:t>
      </w:r>
      <w:r>
        <w:t>Положения.</w:t>
      </w:r>
    </w:p>
    <w:p w14:paraId="42000000">
      <w:pPr>
        <w:widowControl w:val="1"/>
        <w:ind/>
        <w:jc w:val="both"/>
      </w:pPr>
      <w:r>
        <w:t>В сл</w:t>
      </w:r>
      <w:r>
        <w:t>учае</w:t>
      </w:r>
      <w:r>
        <w:t xml:space="preserve"> приняти</w:t>
      </w:r>
      <w:r>
        <w:t>я органом опе</w:t>
      </w:r>
      <w:r>
        <w:t>ки</w:t>
      </w:r>
      <w:r>
        <w:t xml:space="preserve"> и</w:t>
      </w:r>
      <w:r>
        <w:t xml:space="preserve"> попечите</w:t>
      </w:r>
      <w:r>
        <w:t>льства решения об от</w:t>
      </w:r>
      <w:r>
        <w:t>казе в создании детс</w:t>
      </w:r>
      <w:r>
        <w:t>кого дома семейного типа управление (отдел) образования возвращает заявителю все документы вместе с решением органа опеки и попечит</w:t>
      </w:r>
      <w:r>
        <w:t>ельства.</w:t>
      </w:r>
      <w:bookmarkEnd w:id="2"/>
      <w:r>
        <w:t>“;</w:t>
      </w:r>
    </w:p>
    <w:p w14:paraId="43000000">
      <w:pPr>
        <w:keepNext w:val="1"/>
        <w:widowControl w:val="1"/>
        <w:ind/>
        <w:jc w:val="both"/>
      </w:pPr>
      <w:r>
        <w:t>пункт 45 изложить в с</w:t>
      </w:r>
      <w:r>
        <w:t>ледующей редакц</w:t>
      </w:r>
      <w:r>
        <w:t>ии:</w:t>
      </w:r>
    </w:p>
    <w:p w14:paraId="44000000">
      <w:pPr>
        <w:widowControl w:val="1"/>
        <w:ind/>
        <w:jc w:val="both"/>
      </w:pPr>
      <w:r>
        <w:t>”45.</w:t>
      </w:r>
      <w:bookmarkStart w:id="3" w:name="_Hlk215563083"/>
      <w:r>
        <w:t> При создании дет</w:t>
      </w:r>
      <w:r>
        <w:t>ск</w:t>
      </w:r>
      <w:r>
        <w:t>ог</w:t>
      </w:r>
      <w:r>
        <w:t xml:space="preserve">о дома семейного </w:t>
      </w:r>
      <w:r>
        <w:t>типа в специ</w:t>
      </w:r>
      <w:r>
        <w:t>альном жилом</w:t>
      </w:r>
      <w:r>
        <w:t xml:space="preserve"> помещении орган опеки и попечительства обеспечивает его необходимым оборудованием, мебелью и мягким инвентарем. </w:t>
      </w:r>
    </w:p>
    <w:p w14:paraId="45000000">
      <w:pPr>
        <w:widowControl w:val="1"/>
        <w:ind/>
        <w:jc w:val="both"/>
      </w:pPr>
      <w:r>
        <w:t>Мебель дошкольная, ученич</w:t>
      </w:r>
      <w:r>
        <w:t>еская, б</w:t>
      </w:r>
      <w:r>
        <w:t>ытовая в специаль</w:t>
      </w:r>
      <w:r>
        <w:t>ном жил</w:t>
      </w:r>
      <w:r>
        <w:t>ом помещении де</w:t>
      </w:r>
      <w:r>
        <w:t>тско</w:t>
      </w:r>
      <w:r>
        <w:t>го дома семейного т</w:t>
      </w:r>
      <w:r>
        <w:t>ип</w:t>
      </w:r>
      <w:r>
        <w:t xml:space="preserve">а </w:t>
      </w:r>
      <w:r>
        <w:t xml:space="preserve">должна соответствовать </w:t>
      </w:r>
      <w:r>
        <w:t>обязател</w:t>
      </w:r>
      <w:r>
        <w:t>ьны</w:t>
      </w:r>
      <w:r>
        <w:t>м</w:t>
      </w:r>
      <w:r>
        <w:t xml:space="preserve"> для соблюдения </w:t>
      </w:r>
      <w:r>
        <w:t>требованиям</w:t>
      </w:r>
      <w:r>
        <w:t>,</w:t>
      </w:r>
      <w:r>
        <w:t xml:space="preserve"> </w:t>
      </w:r>
      <w:r>
        <w:t>содержащи</w:t>
      </w:r>
      <w:r>
        <w:t xml:space="preserve">мся </w:t>
      </w:r>
      <w:r>
        <w:t xml:space="preserve">в </w:t>
      </w:r>
      <w:r>
        <w:t>технических нормативных правовых акт</w:t>
      </w:r>
      <w:r>
        <w:t>ах</w:t>
      </w:r>
      <w:r>
        <w:t>.</w:t>
      </w:r>
    </w:p>
    <w:p w14:paraId="46000000">
      <w:pPr>
        <w:widowControl w:val="1"/>
        <w:ind/>
        <w:jc w:val="both"/>
      </w:pPr>
      <w:r>
        <w:t>Каждому воспитаннику обеспечивается наличие рабочего места (сто</w:t>
      </w:r>
      <w:r>
        <w:t>ла или п</w:t>
      </w:r>
      <w:r>
        <w:t>арты, стула) и сп</w:t>
      </w:r>
      <w:r>
        <w:t>ального места соотв</w:t>
      </w:r>
      <w:r>
        <w:t>етс</w:t>
      </w:r>
      <w:r>
        <w:t>тве</w:t>
      </w:r>
      <w:r>
        <w:t xml:space="preserve">нно росту. </w:t>
      </w:r>
    </w:p>
    <w:p w14:paraId="47000000">
      <w:pPr>
        <w:widowControl w:val="1"/>
        <w:ind/>
        <w:jc w:val="both"/>
      </w:pPr>
      <w:r>
        <w:t>Спальные п</w:t>
      </w:r>
      <w:r>
        <w:t>ом</w:t>
      </w:r>
      <w:r>
        <w:t>ещ</w:t>
      </w:r>
      <w:r>
        <w:t>ения д</w:t>
      </w:r>
      <w:r>
        <w:t>ля воспитанников оборуд</w:t>
      </w:r>
      <w:r>
        <w:t>уются по числу проживаю</w:t>
      </w:r>
      <w:r>
        <w:t>щих стационарными кроватями, шкафами и тумбочками для хранения личных вещей, одежды и обуви, мягким инвентарем на каждого воспит</w:t>
      </w:r>
      <w:r>
        <w:t>анника (</w:t>
      </w:r>
      <w:r>
        <w:t xml:space="preserve">одеяло, подушка, </w:t>
      </w:r>
      <w:r>
        <w:t>матрац, наматрацник</w:t>
      </w:r>
      <w:r>
        <w:t>, н</w:t>
      </w:r>
      <w:r>
        <w:t>аво</w:t>
      </w:r>
      <w:r>
        <w:t>лочка, пододе</w:t>
      </w:r>
      <w:r>
        <w:t>яльник, п</w:t>
      </w:r>
      <w:r>
        <w:t>ро</w:t>
      </w:r>
      <w:r>
        <w:t>ст</w:t>
      </w:r>
      <w:r>
        <w:t xml:space="preserve">ыня, </w:t>
      </w:r>
      <w:r>
        <w:t>плед, коврик прикроватны</w:t>
      </w:r>
      <w:r>
        <w:t>й).</w:t>
      </w:r>
    </w:p>
    <w:p w14:paraId="48000000">
      <w:pPr>
        <w:widowControl w:val="1"/>
        <w:ind/>
        <w:jc w:val="both"/>
      </w:pPr>
      <w:r>
        <w:t xml:space="preserve">Запрещается использование двухъярусных кроватей для детей до 3 лет и кроватей-раскладушек. </w:t>
      </w:r>
    </w:p>
    <w:p w14:paraId="49000000">
      <w:pPr>
        <w:widowControl w:val="1"/>
        <w:ind/>
        <w:jc w:val="both"/>
      </w:pPr>
      <w:r>
        <w:t xml:space="preserve">Для воспитанников в возрасте от 3 лет </w:t>
      </w:r>
      <w:r>
        <w:t>могут использоват</w:t>
      </w:r>
      <w:r>
        <w:t>ься двух</w:t>
      </w:r>
      <w:r>
        <w:t>ъярусные</w:t>
      </w:r>
      <w:r>
        <w:t xml:space="preserve"> кровати с огражден</w:t>
      </w:r>
      <w:r>
        <w:t>ием ложа вто</w:t>
      </w:r>
      <w:r>
        <w:t>рого яр</w:t>
      </w:r>
      <w:r>
        <w:t>уса высотой не</w:t>
      </w:r>
      <w:r>
        <w:t> </w:t>
      </w:r>
      <w:r>
        <w:t>мен</w:t>
      </w:r>
      <w:r>
        <w:t>ее</w:t>
      </w:r>
      <w:r>
        <w:t xml:space="preserve"> </w:t>
      </w:r>
      <w:r>
        <w:t>30 см.</w:t>
      </w:r>
    </w:p>
    <w:p w14:paraId="4A000000">
      <w:pPr>
        <w:widowControl w:val="1"/>
        <w:ind/>
        <w:jc w:val="both"/>
      </w:pPr>
      <w:r>
        <w:t>Помещение для родителей</w:t>
      </w:r>
      <w:r>
        <w:t>-воспитателей оборудует</w:t>
      </w:r>
      <w:r>
        <w:t>ся местом для сна, шкафом для одежды и обуви, рабочим местом (стол, стул).</w:t>
      </w:r>
    </w:p>
    <w:p w14:paraId="4B000000">
      <w:pPr>
        <w:widowControl w:val="1"/>
        <w:ind/>
        <w:jc w:val="both"/>
      </w:pPr>
      <w:r>
        <w:t>Гостиная оборудуется мягкой мебелью.</w:t>
      </w:r>
    </w:p>
    <w:p w14:paraId="4C000000">
      <w:pPr>
        <w:widowControl w:val="1"/>
        <w:ind/>
        <w:jc w:val="both"/>
      </w:pPr>
      <w:r>
        <w:t>Кухня-столовая о</w:t>
      </w:r>
      <w:r>
        <w:t>снащаетс</w:t>
      </w:r>
      <w:r>
        <w:t>я бытовы</w:t>
      </w:r>
      <w:r>
        <w:t>м оборудованием для</w:t>
      </w:r>
      <w:r>
        <w:t xml:space="preserve"> приготовлен</w:t>
      </w:r>
      <w:r>
        <w:t>ия пищи</w:t>
      </w:r>
      <w:r>
        <w:t>, холодильником, в</w:t>
      </w:r>
      <w:r>
        <w:t>ен</w:t>
      </w:r>
      <w:r>
        <w:t>ти</w:t>
      </w:r>
      <w:r>
        <w:t>ляционным вытя</w:t>
      </w:r>
      <w:r>
        <w:t>жным шкафом, по</w:t>
      </w:r>
      <w:r>
        <w:t>судомоечной маш</w:t>
      </w:r>
      <w:r>
        <w:t>иной, шкафами и сушилкой для хранения посуды и кухонного инвентаря, обеденным столом и стульями.</w:t>
      </w:r>
    </w:p>
    <w:p w14:paraId="4D000000">
      <w:pPr>
        <w:widowControl w:val="1"/>
        <w:ind/>
        <w:jc w:val="both"/>
      </w:pPr>
      <w:r>
        <w:t xml:space="preserve">Жилое помещение оборудуется стиральной </w:t>
      </w:r>
      <w:r>
        <w:t>машиной-</w:t>
      </w:r>
      <w:r>
        <w:t>автоматом.</w:t>
      </w:r>
    </w:p>
    <w:p w14:paraId="4E000000">
      <w:pPr>
        <w:widowControl w:val="1"/>
        <w:ind/>
        <w:jc w:val="both"/>
      </w:pPr>
      <w:r>
        <w:t>Обеспечиваются с</w:t>
      </w:r>
      <w:r>
        <w:t>воевременный</w:t>
      </w:r>
      <w:r>
        <w:t xml:space="preserve"> рем</w:t>
      </w:r>
      <w:r>
        <w:t>онт и замена пришедши</w:t>
      </w:r>
      <w:r>
        <w:t xml:space="preserve">х </w:t>
      </w:r>
      <w:r>
        <w:t xml:space="preserve">в </w:t>
      </w:r>
      <w:r>
        <w:t>негодность мебели</w:t>
      </w:r>
      <w:r>
        <w:t xml:space="preserve"> и оборудова</w:t>
      </w:r>
      <w:r>
        <w:t>ния детского</w:t>
      </w:r>
      <w:r>
        <w:t xml:space="preserve"> дома семейного типа. </w:t>
      </w:r>
    </w:p>
    <w:p w14:paraId="4F000000">
      <w:pPr>
        <w:widowControl w:val="1"/>
        <w:ind/>
        <w:jc w:val="both"/>
      </w:pPr>
      <w:r>
        <w:t>На техническое обслуживание, техническое обслуживание лифта, санитарное содер</w:t>
      </w:r>
      <w:r>
        <w:t xml:space="preserve">жание вспомогательных помещений жилого </w:t>
      </w:r>
      <w:r>
        <w:t>дома, пл</w:t>
      </w:r>
      <w:r>
        <w:t xml:space="preserve">ату за коммунальные услуги </w:t>
      </w:r>
      <w:r>
        <w:t>(горячее и х</w:t>
      </w:r>
      <w:r>
        <w:t>олодное водо</w:t>
      </w:r>
      <w:r>
        <w:t>снабжение, во</w:t>
      </w:r>
      <w:r>
        <w:t>до</w:t>
      </w:r>
      <w:r>
        <w:t>от</w:t>
      </w:r>
      <w:r>
        <w:t>ведение (канализация), газо-,</w:t>
      </w:r>
      <w:r>
        <w:t xml:space="preserve"> эле</w:t>
      </w:r>
      <w:r>
        <w:t>ктро- и теплоснабжение, обращение с твердыми коммунальными отходами, снабжение сжиженным углеводородным газо</w:t>
      </w:r>
      <w:r>
        <w:t>м от индивидуальных баллонных или резер</w:t>
      </w:r>
      <w:r>
        <w:t xml:space="preserve">вуарных </w:t>
      </w:r>
      <w:r>
        <w:t>установок), возмещение расх</w:t>
      </w:r>
      <w:r>
        <w:t>одов организ</w:t>
      </w:r>
      <w:r>
        <w:t>аций, осущес</w:t>
      </w:r>
      <w:r>
        <w:t>твляющих эксп</w:t>
      </w:r>
      <w:r>
        <w:t>лу</w:t>
      </w:r>
      <w:r>
        <w:t>ат</w:t>
      </w:r>
      <w:r>
        <w:t xml:space="preserve">ацию жилищного фонда и (или) </w:t>
      </w:r>
      <w:r>
        <w:t>пред</w:t>
      </w:r>
      <w:r>
        <w:t>оставляющих жилищно-коммунальные услуги, на электроэнергию, потребляемую на освещение вспомогательных помеще</w:t>
      </w:r>
      <w:r>
        <w:t xml:space="preserve">ний и работу оборудования, в том числе </w:t>
      </w:r>
      <w:r>
        <w:t xml:space="preserve">лифтов, </w:t>
      </w:r>
      <w:r>
        <w:t>в многоквартирных жилых дом</w:t>
      </w:r>
      <w:r>
        <w:t>ах, дополнит</w:t>
      </w:r>
      <w:r>
        <w:t>ельно выделя</w:t>
      </w:r>
      <w:r>
        <w:t>ются средства</w:t>
      </w:r>
      <w:r>
        <w:t xml:space="preserve"> в</w:t>
      </w:r>
      <w:r>
        <w:t xml:space="preserve"> с</w:t>
      </w:r>
      <w:r>
        <w:t>оответствии с расчетными книж</w:t>
      </w:r>
      <w:r>
        <w:t>ками</w:t>
      </w:r>
      <w:r>
        <w:t xml:space="preserve"> либо соответствующими документами по нормам (нормативам) потребления, устанавливаемым местными исполнительн</w:t>
      </w:r>
      <w:r>
        <w:t>ыми и распорядительными органами, а так</w:t>
      </w:r>
      <w:r>
        <w:t>же тариф</w:t>
      </w:r>
      <w:r>
        <w:t>ам (ценам) на жилищно-коммуналь</w:t>
      </w:r>
      <w:r>
        <w:t>ные услу</w:t>
      </w:r>
      <w:r>
        <w:t>ги.</w:t>
      </w:r>
    </w:p>
    <w:p w14:paraId="50000000">
      <w:pPr>
        <w:widowControl w:val="1"/>
        <w:ind/>
        <w:jc w:val="both"/>
      </w:pPr>
      <w:r>
        <w:t>В детском доме семейного типа, созданном в</w:t>
      </w:r>
      <w:r>
        <w:t xml:space="preserve"> жилом помещ</w:t>
      </w:r>
      <w:r>
        <w:t>ении, принад</w:t>
      </w:r>
      <w:r>
        <w:t>лежащем родителям-воспитателям, денежные выплаты по возмещению расходов на плату за пользование жилы</w:t>
      </w:r>
      <w:r>
        <w:t>ми помещениями, техническое обслуживани</w:t>
      </w:r>
      <w:r>
        <w:t>е, техни</w:t>
      </w:r>
      <w:r>
        <w:t>ческое обслуживание лифта, сани</w:t>
      </w:r>
      <w:r>
        <w:t>тарное содер</w:t>
      </w:r>
      <w:r>
        <w:t>жание вспомогательных помещений жилого дома, коммунальные услуги (горячее и холодное водоснабжение, водоотве</w:t>
      </w:r>
      <w:r>
        <w:t>дение (канализация (централизованные, а также локальные (с</w:t>
      </w:r>
      <w:r>
        <w:t>ептики, выгребные ямы и другие) системы</w:t>
      </w:r>
      <w:r>
        <w:t xml:space="preserve"> канализации), газо-, электро- и теплос</w:t>
      </w:r>
      <w:r>
        <w:t>набжение, об</w:t>
      </w:r>
      <w:r>
        <w:t>ращение с твердыми коммунальными отходами, снабжение сжиженным углеводородным газом от индивидуальных баллонных или резервуарных установок), возмещение расходов орган</w:t>
      </w:r>
      <w:r>
        <w:t>изаций, осуществляющих эксплуатацию жилищного фонда и (или) предоставляющих жи</w:t>
      </w:r>
      <w:r>
        <w:t>лищно-коммун</w:t>
      </w:r>
      <w:r>
        <w:t>альные услуги, на электроэнергию, потребляемую на освещение вспомогательных помещений и работу оборудования, в том числе лифтов, в многоквартирных жилых домах, оплату</w:t>
      </w:r>
      <w:r>
        <w:t xml:space="preserve"> топлива (проживающим в домах без центрального отопления), а также на </w:t>
      </w:r>
      <w:r>
        <w:t>плату за</w:t>
      </w:r>
      <w:r>
        <w:t xml:space="preserve"> пользование</w:t>
      </w:r>
      <w:r>
        <w:t xml:space="preserve"> квартирным телефоном (кроме междугородных и международных разговоров), бытовыми услугами (услуги прачечных, парикмахерских, по ремонту обуви), связанных с содержани</w:t>
      </w:r>
      <w:r>
        <w:t>е</w:t>
      </w:r>
      <w:r>
        <w:t>м воспитанников, осуществляются в размерах и порядке, установленных законодате</w:t>
      </w:r>
      <w:r>
        <w:t>льством о га</w:t>
      </w:r>
      <w:r>
        <w:t>рантиях по социальной защите детей-сирот, детей, оставшихся без попечения родителей, а также лиц из числа детей-сирот и детей, оставшихся без попечения родителей.</w:t>
      </w:r>
      <w:bookmarkEnd w:id="3"/>
      <w:r>
        <w:t>“;</w:t>
      </w:r>
    </w:p>
    <w:p w14:paraId="51000000">
      <w:pPr>
        <w:widowControl w:val="1"/>
        <w:ind/>
        <w:jc w:val="both"/>
      </w:pPr>
      <w:r>
        <w:t>п</w:t>
      </w:r>
      <w:r>
        <w:t xml:space="preserve">ункт 46 после слова ”необходимости“ дополнить словами </w:t>
      </w:r>
      <w:bookmarkStart w:id="4" w:name="_Hlk215563135"/>
      <w:r>
        <w:t>”,</w:t>
      </w:r>
      <w:r>
        <w:t> </w:t>
      </w:r>
      <w:r>
        <w:t>лекарственными средст</w:t>
      </w:r>
      <w:r>
        <w:t>вами и медиц</w:t>
      </w:r>
      <w:r>
        <w:t>инскими изделиями (изделиями медицинского назначения, медицинской техникой), в том числе очками</w:t>
      </w:r>
      <w:bookmarkEnd w:id="4"/>
      <w:r>
        <w:t>“;</w:t>
      </w:r>
    </w:p>
    <w:p w14:paraId="52000000">
      <w:pPr>
        <w:widowControl w:val="1"/>
        <w:ind/>
        <w:jc w:val="both"/>
      </w:pPr>
      <w:r>
        <w:t>в пункте 3 приложения 1 к этому Положению:</w:t>
      </w:r>
    </w:p>
    <w:p w14:paraId="53000000">
      <w:pPr>
        <w:widowControl w:val="1"/>
        <w:ind/>
        <w:jc w:val="both"/>
      </w:pPr>
      <w:r>
        <w:t>абзац четырнадцатый под</w:t>
      </w:r>
      <w:r>
        <w:t>пу</w:t>
      </w:r>
      <w:r>
        <w:t>нкта 3.1 изложить в следующей редакции:</w:t>
      </w:r>
    </w:p>
    <w:p w14:paraId="54000000">
      <w:pPr>
        <w:widowControl w:val="1"/>
        <w:ind/>
        <w:jc w:val="both"/>
      </w:pPr>
      <w:r>
        <w:t>”</w:t>
      </w:r>
      <w:bookmarkStart w:id="5" w:name="_Hlk215563270"/>
      <w:r>
        <w:t>используют полученные ежемесячные ден</w:t>
      </w:r>
      <w:r>
        <w:t>ежные выплат</w:t>
      </w:r>
      <w:r>
        <w:t>ы на удовлетворение потребностей ребенка (детей), обеспечение их одеждой, обувью, мягким инвентарем и оборудованием, учебниками, учебными пособиями и принадлежностя</w:t>
      </w:r>
      <w:r>
        <w:t>ми</w:t>
      </w:r>
      <w:r>
        <w:t>, предметами личной гигиены, иными предметами первой необходимости, лекарствен</w:t>
      </w:r>
      <w:r>
        <w:t>ными средств</w:t>
      </w:r>
      <w:r>
        <w:t>ами и медицинскими изделиями (изделиями медицинского назначения, медицинской техникой), в том числе очками, а также по достижении воспитанниками возраста 7 лет – на</w:t>
      </w:r>
      <w:r>
        <w:t xml:space="preserve"> и</w:t>
      </w:r>
      <w:r>
        <w:t>х личные расходы</w:t>
      </w:r>
      <w:bookmarkEnd w:id="5"/>
      <w:r>
        <w:t>;“;</w:t>
      </w:r>
    </w:p>
    <w:p w14:paraId="55000000">
      <w:pPr>
        <w:widowControl w:val="1"/>
        <w:ind/>
        <w:jc w:val="both"/>
      </w:pPr>
      <w:r>
        <w:t>подпункт 3.3.2 после слова ”необходимости“ дополнить слова</w:t>
      </w:r>
      <w:r>
        <w:t xml:space="preserve">ми </w:t>
      </w:r>
      <w:r>
        <w:t>”,</w:t>
      </w:r>
      <w:bookmarkStart w:id="6" w:name="_Hlk215563348"/>
      <w:r>
        <w:t> </w:t>
      </w:r>
      <w:r>
        <w:t>лекарс</w:t>
      </w:r>
      <w:r>
        <w:t>твенными средствами и медицинскими изделиями (изделиями медицинского назначения, медицинской техникой), в том числе очками</w:t>
      </w:r>
      <w:bookmarkEnd w:id="6"/>
      <w:r>
        <w:t>“;</w:t>
      </w:r>
    </w:p>
    <w:p w14:paraId="56000000">
      <w:pPr>
        <w:widowControl w:val="1"/>
        <w:ind/>
        <w:jc w:val="both"/>
      </w:pPr>
      <w:r>
        <w:t>подпункт 3.3.5 после слова ”необходимо</w:t>
      </w:r>
      <w:r>
        <w:t>сти</w:t>
      </w:r>
      <w:r>
        <w:t>“ дополнить словами ”,</w:t>
      </w:r>
      <w:bookmarkStart w:id="7" w:name="_Hlk215563382"/>
      <w:r>
        <w:t> </w:t>
      </w:r>
      <w:r>
        <w:t>лекарственными средствами и медицинскими изделиями (изд</w:t>
      </w:r>
      <w:r>
        <w:t>елиями медиц</w:t>
      </w:r>
      <w:r>
        <w:t xml:space="preserve">инского назначения, медицинской техникой), в том числе очками, </w:t>
      </w:r>
      <w:r>
        <w:t>а также по достижении возраста 7 лет – денежными средствами на личные расходы</w:t>
      </w:r>
      <w:bookmarkEnd w:id="7"/>
      <w:r>
        <w:t>“;</w:t>
      </w:r>
    </w:p>
    <w:p w14:paraId="57000000">
      <w:pPr>
        <w:widowControl w:val="1"/>
        <w:spacing w:after="120"/>
        <w:ind/>
        <w:jc w:val="both"/>
      </w:pPr>
      <w:r>
        <w:t>графу ”Наименование</w:t>
      </w:r>
      <w:r>
        <w:t xml:space="preserve"> рас</w:t>
      </w:r>
      <w:r>
        <w:t>ходов“ приложения 2 к этому Положению после позиции</w:t>
      </w:r>
    </w:p>
    <w:p w14:paraId="58000000">
      <w:pPr>
        <w:widowControl w:val="1"/>
        <w:spacing w:after="120" w:line="280" w:lineRule="exact"/>
        <w:ind w:firstLine="0"/>
        <w:jc w:val="both"/>
      </w:pPr>
      <w:r>
        <w:t>”Приобретение учебников, у</w:t>
      </w:r>
      <w:r>
        <w:t>чебных пособ</w:t>
      </w:r>
      <w:r>
        <w:t>ий и</w:t>
      </w:r>
      <w:r>
        <w:t xml:space="preserve"> </w:t>
      </w:r>
      <w:r>
        <w:t>принадлежностей“</w:t>
      </w:r>
    </w:p>
    <w:p w14:paraId="59000000">
      <w:pPr>
        <w:widowControl w:val="1"/>
        <w:spacing w:after="120"/>
        <w:ind w:firstLine="0"/>
        <w:jc w:val="both"/>
      </w:pPr>
      <w:r>
        <w:t>дополнить позицией</w:t>
      </w:r>
    </w:p>
    <w:p w14:paraId="5A000000">
      <w:pPr>
        <w:widowControl w:val="1"/>
        <w:spacing w:after="120" w:line="280" w:lineRule="exact"/>
        <w:ind w:firstLine="0"/>
        <w:jc w:val="both"/>
      </w:pPr>
      <w:r>
        <w:t>”Приобретение лекарственных средств и медицинских изделий (изделий медицинского назначения, медицинской техники), в том ч</w:t>
      </w:r>
      <w:r>
        <w:t>исле</w:t>
      </w:r>
      <w:r>
        <w:t xml:space="preserve"> очков“;</w:t>
      </w:r>
    </w:p>
    <w:p w14:paraId="5B000000">
      <w:pPr>
        <w:widowControl w:val="1"/>
        <w:ind/>
        <w:jc w:val="both"/>
      </w:pPr>
      <w:r>
        <w:t>2</w:t>
      </w:r>
      <w:r>
        <w:t>.</w:t>
      </w:r>
      <w:r>
        <w:t>4</w:t>
      </w:r>
      <w:r>
        <w:t>. </w:t>
      </w:r>
      <w:r>
        <w:t xml:space="preserve">в </w:t>
      </w:r>
      <w:r>
        <w:t>постановлении Совета Министров Республики Беларусь от 31</w:t>
      </w:r>
      <w:r>
        <w:t> </w:t>
      </w:r>
      <w:r>
        <w:t xml:space="preserve">июля </w:t>
      </w:r>
      <w:r>
        <w:t>2006 г. № 97</w:t>
      </w:r>
      <w:r>
        <w:t xml:space="preserve">6 </w:t>
      </w:r>
      <w:r>
        <w:t>”</w:t>
      </w:r>
      <w:r>
        <w:t>Вопросы Министерства образования Республики Беларусь</w:t>
      </w:r>
      <w:r>
        <w:t>“</w:t>
      </w:r>
      <w:r>
        <w:t>:</w:t>
      </w:r>
    </w:p>
    <w:p w14:paraId="5C000000">
      <w:pPr>
        <w:widowControl w:val="1"/>
        <w:ind/>
        <w:jc w:val="both"/>
      </w:pPr>
      <w:r>
        <w:t>подпункт 6.5 пун</w:t>
      </w:r>
      <w:r>
        <w:t xml:space="preserve">кта 6 </w:t>
      </w:r>
      <w:r>
        <w:t>Положения о Департаменте контроля качества образования Министерства образования Ре</w:t>
      </w:r>
      <w:r>
        <w:t>спуб</w:t>
      </w:r>
      <w:r>
        <w:t>лики Беларусь, утвержденного этим постановлением, исключить;</w:t>
      </w:r>
    </w:p>
    <w:p w14:paraId="5D000000">
      <w:pPr>
        <w:widowControl w:val="1"/>
        <w:ind/>
        <w:jc w:val="both"/>
      </w:pPr>
      <w:r>
        <w:t xml:space="preserve">в </w:t>
      </w:r>
      <w:bookmarkStart w:id="8" w:name="_Hlk217141190"/>
      <w:r>
        <w:t>приложении к эт</w:t>
      </w:r>
      <w:r>
        <w:t>ому постанов</w:t>
      </w:r>
      <w:r>
        <w:t>лению</w:t>
      </w:r>
      <w:bookmarkEnd w:id="8"/>
      <w:r>
        <w:t>:</w:t>
      </w:r>
    </w:p>
    <w:p w14:paraId="5E000000">
      <w:pPr>
        <w:widowControl w:val="1"/>
        <w:ind/>
        <w:jc w:val="both"/>
      </w:pPr>
      <w:r>
        <w:t xml:space="preserve">пункт 15 </w:t>
      </w:r>
      <w:r>
        <w:t>изложить в следующей редакции:</w:t>
      </w:r>
    </w:p>
    <w:p w14:paraId="5F000000">
      <w:pPr>
        <w:widowControl w:val="1"/>
        <w:ind/>
        <w:jc w:val="both"/>
      </w:pPr>
      <w:r>
        <w:t>”</w:t>
      </w:r>
      <w:r>
        <w:t>15.</w:t>
      </w:r>
      <w:r>
        <w:t> </w:t>
      </w:r>
      <w:r>
        <w:t>Учреж</w:t>
      </w:r>
      <w:r>
        <w:t>дение образования</w:t>
      </w:r>
      <w:r>
        <w:t xml:space="preserve"> </w:t>
      </w:r>
      <w:r>
        <w:t>”</w:t>
      </w:r>
      <w:r>
        <w:t>Белорусский государственный университет</w:t>
      </w:r>
      <w:r>
        <w:t xml:space="preserve"> иностранных языков</w:t>
      </w:r>
      <w:r>
        <w:t>“</w:t>
      </w:r>
      <w:r>
        <w:t>.</w:t>
      </w:r>
      <w:r>
        <w:t>“</w:t>
      </w:r>
      <w:r>
        <w:t>;</w:t>
      </w:r>
    </w:p>
    <w:p w14:paraId="60000000">
      <w:pPr>
        <w:widowControl w:val="1"/>
        <w:ind/>
        <w:jc w:val="both"/>
      </w:pPr>
      <w:r>
        <w:t xml:space="preserve">пункты 33 и 34 изложить в следующей редакции: </w:t>
      </w:r>
    </w:p>
    <w:p w14:paraId="61000000">
      <w:pPr>
        <w:widowControl w:val="1"/>
        <w:ind/>
        <w:jc w:val="both"/>
      </w:pPr>
      <w:r>
        <w:t>”33.</w:t>
      </w:r>
      <w:r>
        <w:t> </w:t>
      </w:r>
      <w:r>
        <w:t>Государственное учреждение образования ”Академия обра</w:t>
      </w:r>
      <w:r>
        <w:t>зования“.</w:t>
      </w:r>
    </w:p>
    <w:p w14:paraId="62000000">
      <w:pPr>
        <w:widowControl w:val="1"/>
        <w:ind/>
        <w:jc w:val="both"/>
      </w:pPr>
      <w:r>
        <w:t>34</w:t>
      </w:r>
      <w:r>
        <w:t>.</w:t>
      </w:r>
      <w:r>
        <w:t> </w:t>
      </w:r>
      <w:r>
        <w:t>Государственное учреждение образования ”Жлобинск</w:t>
      </w:r>
      <w:r>
        <w:t>ий металлургический колледж“.“;</w:t>
      </w:r>
    </w:p>
    <w:p w14:paraId="63000000">
      <w:pPr>
        <w:widowControl w:val="1"/>
        <w:ind/>
        <w:jc w:val="both"/>
      </w:pPr>
      <w:r>
        <w:t>дополнить приложение пунктом 38 следующего содержания:</w:t>
      </w:r>
    </w:p>
    <w:p w14:paraId="64000000">
      <w:pPr>
        <w:widowControl w:val="1"/>
        <w:ind/>
        <w:jc w:val="both"/>
      </w:pPr>
      <w:r>
        <w:t>”38.</w:t>
      </w:r>
      <w:r>
        <w:t> </w:t>
      </w:r>
      <w:r>
        <w:t>Государственное учреждение образования ”Жодинский политехнический колледж“.“;</w:t>
      </w:r>
    </w:p>
    <w:p w14:paraId="65000000">
      <w:pPr>
        <w:widowControl w:val="1"/>
        <w:ind/>
        <w:jc w:val="both"/>
      </w:pPr>
      <w:r>
        <w:t>пункт 43 изложить в след</w:t>
      </w:r>
      <w:r>
        <w:t>ующей редакц</w:t>
      </w:r>
      <w:r>
        <w:t>ии:</w:t>
      </w:r>
    </w:p>
    <w:p w14:paraId="66000000">
      <w:pPr>
        <w:widowControl w:val="1"/>
        <w:ind/>
        <w:jc w:val="both"/>
      </w:pPr>
      <w:r>
        <w:t>”43.</w:t>
      </w:r>
      <w:r>
        <w:t> </w:t>
      </w:r>
      <w:r>
        <w:t>Государственное учреждение образования ”К</w:t>
      </w:r>
      <w:r>
        <w:t>ривичское специальное профессионально-техническое училище закрытого типа</w:t>
      </w:r>
      <w:r>
        <w:t>“</w:t>
      </w:r>
      <w:r>
        <w:t>.</w:t>
      </w:r>
      <w:r>
        <w:t>“;</w:t>
      </w:r>
    </w:p>
    <w:p w14:paraId="67000000">
      <w:pPr>
        <w:widowControl w:val="1"/>
        <w:ind/>
        <w:jc w:val="both"/>
      </w:pPr>
      <w:r>
        <w:t>пункты 45 – 47 изложить в следующей редакции:</w:t>
      </w:r>
    </w:p>
    <w:p w14:paraId="68000000">
      <w:pPr>
        <w:widowControl w:val="1"/>
        <w:ind/>
        <w:jc w:val="both"/>
      </w:pPr>
      <w:r>
        <w:t>”45.</w:t>
      </w:r>
      <w:r>
        <w:t> </w:t>
      </w:r>
      <w:r>
        <w:t>Государственное учреждение образования ”Солигорский горно-химическ</w:t>
      </w:r>
      <w:r>
        <w:t>ий колледж“.</w:t>
      </w:r>
    </w:p>
    <w:p w14:paraId="69000000">
      <w:pPr>
        <w:widowControl w:val="1"/>
        <w:ind/>
        <w:jc w:val="both"/>
      </w:pPr>
      <w:r>
        <w:t>4</w:t>
      </w:r>
      <w:r>
        <w:t>6.</w:t>
      </w:r>
      <w:r>
        <w:t> </w:t>
      </w:r>
      <w:r>
        <w:t>Учреждение образования ”Бобруйский государственный автомеханический колледж“.</w:t>
      </w:r>
    </w:p>
    <w:p w14:paraId="6A000000">
      <w:pPr>
        <w:widowControl w:val="1"/>
        <w:ind/>
        <w:jc w:val="both"/>
      </w:pPr>
      <w:r>
        <w:t>47.</w:t>
      </w:r>
      <w:r>
        <w:t> </w:t>
      </w:r>
      <w:r>
        <w:t>Учреждение образования ”Борисовский государственный технический колледж“.“;</w:t>
      </w:r>
    </w:p>
    <w:p w14:paraId="6B000000">
      <w:pPr>
        <w:widowControl w:val="1"/>
        <w:ind/>
        <w:jc w:val="both"/>
      </w:pPr>
      <w:r>
        <w:t>пункты 48</w:t>
      </w:r>
      <w:r>
        <w:t xml:space="preserve"> – </w:t>
      </w:r>
      <w:r>
        <w:t>50 исключить;</w:t>
      </w:r>
    </w:p>
    <w:p w14:paraId="6C000000">
      <w:pPr>
        <w:widowControl w:val="1"/>
        <w:ind/>
        <w:jc w:val="both"/>
      </w:pPr>
      <w:r>
        <w:t>2</w:t>
      </w:r>
      <w:r>
        <w:t>.</w:t>
      </w:r>
      <w:r>
        <w:t>5</w:t>
      </w:r>
      <w:r>
        <w:t>. часть седьмую пу</w:t>
      </w:r>
      <w:r>
        <w:t>нк</w:t>
      </w:r>
      <w:r>
        <w:t>т</w:t>
      </w:r>
      <w:r>
        <w:t>а 10 Правил продажи отдельных в</w:t>
      </w:r>
      <w:r>
        <w:t>идов товаров и о</w:t>
      </w:r>
      <w:r>
        <w:t>существления общественного питания, утверж</w:t>
      </w:r>
      <w:r>
        <w:t xml:space="preserve">денных </w:t>
      </w:r>
      <w:r>
        <w:t>постановлением Совета Министров</w:t>
      </w:r>
      <w:r>
        <w:t xml:space="preserve"> </w:t>
      </w:r>
      <w:r>
        <w:t>Республики Беларусь от 22 июля 2014</w:t>
      </w:r>
      <w:r>
        <w:t> </w:t>
      </w:r>
      <w:r>
        <w:t>г.</w:t>
      </w:r>
      <w:r>
        <w:t xml:space="preserve"> № 703, после слова ”носителей“ дополнить словами ”,</w:t>
      </w:r>
      <w:r>
        <w:t xml:space="preserve"> игрушек, являющихся воспроизведени</w:t>
      </w:r>
      <w:r>
        <w:t>ем</w:t>
      </w:r>
      <w:r>
        <w:t xml:space="preserve"> </w:t>
      </w:r>
      <w:r>
        <w:t>героев компьютерных игр и фильм</w:t>
      </w:r>
      <w:r>
        <w:t>ов,“;</w:t>
      </w:r>
    </w:p>
    <w:p w14:paraId="6D000000">
      <w:pPr>
        <w:widowControl w:val="1"/>
        <w:ind/>
        <w:jc w:val="both"/>
      </w:pPr>
      <w:r>
        <w:t>2</w:t>
      </w:r>
      <w:r>
        <w:t>.</w:t>
      </w:r>
      <w:r>
        <w:t>6</w:t>
      </w:r>
      <w:r>
        <w:t>. </w:t>
      </w:r>
      <w:r>
        <w:t>в пос</w:t>
      </w:r>
      <w:r>
        <w:t>тановлении</w:t>
      </w:r>
      <w:r>
        <w:t xml:space="preserve"> Совет</w:t>
      </w:r>
      <w:r>
        <w:t>а Министров Республики Бел</w:t>
      </w:r>
      <w:r>
        <w:t>арусь от 25</w:t>
      </w:r>
      <w:r>
        <w:t> </w:t>
      </w:r>
      <w:r>
        <w:t xml:space="preserve">октября 2016 г. № 871 </w:t>
      </w:r>
      <w:r>
        <w:t>”</w:t>
      </w:r>
      <w:r>
        <w:t>О мерах по реализ</w:t>
      </w:r>
      <w:r>
        <w:t>а</w:t>
      </w:r>
      <w:r>
        <w:t xml:space="preserve">ции Закона Республики Беларусь от 11 мая 2016 г. № 362-З </w:t>
      </w:r>
      <w:r>
        <w:t>”</w:t>
      </w:r>
      <w:r>
        <w:t>О внесении изменен</w:t>
      </w:r>
      <w:r>
        <w:t>и</w:t>
      </w:r>
      <w:r>
        <w:t xml:space="preserve">й и дополнений в некоторые законы </w:t>
      </w:r>
      <w:r>
        <w:t>Ре</w:t>
      </w:r>
      <w:r>
        <w:t>с</w:t>
      </w:r>
      <w:r>
        <w:t>публики Беларусь</w:t>
      </w:r>
      <w:r>
        <w:t>“</w:t>
      </w:r>
      <w:r>
        <w:t>:</w:t>
      </w:r>
    </w:p>
    <w:p w14:paraId="6E000000">
      <w:pPr>
        <w:widowControl w:val="1"/>
        <w:ind/>
        <w:jc w:val="both"/>
      </w:pPr>
      <w:r>
        <w:t>преамбулу из</w:t>
      </w:r>
      <w:r>
        <w:t>ложить в следующ</w:t>
      </w:r>
      <w:r>
        <w:t>ей редакции:</w:t>
      </w:r>
    </w:p>
    <w:p w14:paraId="6F000000">
      <w:pPr>
        <w:widowControl w:val="1"/>
        <w:ind/>
        <w:jc w:val="both"/>
      </w:pPr>
      <w:r>
        <w:t xml:space="preserve">”На основании </w:t>
      </w:r>
      <w:r>
        <w:t xml:space="preserve">частей третьей </w:t>
      </w:r>
      <w:r>
        <w:t>и четвертой статьи</w:t>
      </w:r>
      <w:r>
        <w:t xml:space="preserve"> 37</w:t>
      </w:r>
      <w:r>
        <w:rPr>
          <w:vertAlign w:val="superscript"/>
        </w:rPr>
        <w:t>2</w:t>
      </w:r>
      <w:r>
        <w:t xml:space="preserve"> и части второй статьи 37</w:t>
      </w:r>
      <w:r>
        <w:rPr>
          <w:vertAlign w:val="superscript"/>
        </w:rPr>
        <w:t>3</w:t>
      </w:r>
      <w:r>
        <w:t xml:space="preserve"> </w:t>
      </w:r>
      <w:r>
        <w:t>Закона Республики Беларусь от 19 ноября 1993 г. №</w:t>
      </w:r>
      <w:r>
        <w:t xml:space="preserve"> </w:t>
      </w:r>
      <w:r>
        <w:t xml:space="preserve">2570-XII </w:t>
      </w:r>
      <w:r>
        <w:t>”</w:t>
      </w:r>
      <w:r>
        <w:t>О правах ребенка“ Совет Министров Республики Беларусь П</w:t>
      </w:r>
      <w:r>
        <w:t>ОС</w:t>
      </w:r>
      <w:r>
        <w:t>ТАНОВЛЯЕТ:“;</w:t>
      </w:r>
    </w:p>
    <w:p w14:paraId="70000000">
      <w:pPr>
        <w:widowControl w:val="1"/>
        <w:ind/>
        <w:jc w:val="both"/>
      </w:pPr>
      <w:r>
        <w:t>Положение о порядке</w:t>
      </w:r>
      <w:r>
        <w:t xml:space="preserve"> присвоения инфо</w:t>
      </w:r>
      <w:r>
        <w:t>рмационной продукции знака возрастной кате</w:t>
      </w:r>
      <w:r>
        <w:t>гории и некоторых особенностях ее распространения, утвержденное этим постановлением, дополнить главой 7</w:t>
      </w:r>
      <w:r>
        <w:rPr>
          <w:vertAlign w:val="superscript"/>
        </w:rPr>
        <w:t>1</w:t>
      </w:r>
      <w:r>
        <w:t xml:space="preserve"> след</w:t>
      </w:r>
      <w:r>
        <w:t>ующего содержания:</w:t>
      </w:r>
    </w:p>
    <w:p w14:paraId="71000000">
      <w:pPr>
        <w:widowControl w:val="1"/>
        <w:ind/>
        <w:jc w:val="center"/>
      </w:pPr>
    </w:p>
    <w:p w14:paraId="72000000">
      <w:pPr>
        <w:widowControl w:val="1"/>
        <w:ind w:firstLine="0"/>
        <w:jc w:val="center"/>
        <w:rPr>
          <w:b w:val="1"/>
        </w:rPr>
      </w:pPr>
      <w:r>
        <w:t>”</w:t>
      </w:r>
      <w:r>
        <w:rPr>
          <w:b w:val="1"/>
        </w:rPr>
        <w:t>ГЛАВА 7</w:t>
      </w:r>
      <w:r>
        <w:rPr>
          <w:b w:val="1"/>
          <w:vertAlign w:val="superscript"/>
        </w:rPr>
        <w:t>1</w:t>
      </w:r>
      <w:r>
        <w:rPr>
          <w:b w:val="1"/>
        </w:rPr>
        <w:t xml:space="preserve"> </w:t>
      </w:r>
    </w:p>
    <w:p w14:paraId="73000000">
      <w:pPr>
        <w:widowControl w:val="1"/>
        <w:ind w:firstLine="0"/>
        <w:jc w:val="center"/>
        <w:rPr>
          <w:b w:val="1"/>
        </w:rPr>
      </w:pPr>
      <w:r>
        <w:rPr>
          <w:b w:val="1"/>
        </w:rPr>
        <w:t>ПОРЯДОК ПРИСВОЕНИЯ ЗНАКА</w:t>
      </w:r>
      <w:r>
        <w:rPr>
          <w:b w:val="1"/>
        </w:rPr>
        <w:t xml:space="preserve"> В</w:t>
      </w:r>
      <w:r>
        <w:rPr>
          <w:b w:val="1"/>
        </w:rPr>
        <w:t>ОЗРАСТНОЙ КАТЕГОРИИ ИГРУШКАМ, ЯВ</w:t>
      </w:r>
      <w:r>
        <w:rPr>
          <w:b w:val="1"/>
        </w:rPr>
        <w:t>ЛЯЮЩИМСЯ ВОСПРОИ</w:t>
      </w:r>
      <w:r>
        <w:rPr>
          <w:b w:val="1"/>
        </w:rPr>
        <w:t xml:space="preserve">ЗВЕДЕНИЕМ ГЕРОЕВ КОМПЬЮТЕРНЫХ </w:t>
      </w:r>
      <w:r>
        <w:rPr>
          <w:b w:val="1"/>
        </w:rPr>
        <w:t>ИГР И ФИЛЬМО</w:t>
      </w:r>
      <w:r>
        <w:rPr>
          <w:b w:val="1"/>
        </w:rPr>
        <w:t>В</w:t>
      </w:r>
    </w:p>
    <w:p w14:paraId="74000000">
      <w:pPr>
        <w:widowControl w:val="1"/>
        <w:ind/>
        <w:jc w:val="center"/>
      </w:pPr>
    </w:p>
    <w:p w14:paraId="75000000">
      <w:pPr>
        <w:widowControl w:val="1"/>
        <w:ind/>
        <w:jc w:val="both"/>
      </w:pPr>
      <w:r>
        <w:t>28</w:t>
      </w:r>
      <w:r>
        <w:rPr>
          <w:vertAlign w:val="superscript"/>
        </w:rPr>
        <w:t>1</w:t>
      </w:r>
      <w:r>
        <w:t>.</w:t>
      </w:r>
      <w:r>
        <w:t> </w:t>
      </w:r>
      <w:r>
        <w:t xml:space="preserve">Для целей настоящего Положения под </w:t>
      </w:r>
      <w:r>
        <w:t xml:space="preserve">игрушками, </w:t>
      </w:r>
      <w:r>
        <w:t>являющимися воспроизведением героев компьютерных игр и фильмов, понимаются образные и сюжетно-ролевые игрушки,</w:t>
      </w:r>
      <w:r>
        <w:t xml:space="preserve"> </w:t>
      </w:r>
      <w:r>
        <w:t>п</w:t>
      </w:r>
      <w:r>
        <w:t xml:space="preserve">редназначенные для игры ребенка </w:t>
      </w:r>
      <w:r>
        <w:t>(детей) (</w:t>
      </w:r>
      <w:r>
        <w:t>игрушк</w:t>
      </w:r>
      <w:r>
        <w:t>и</w:t>
      </w:r>
      <w:r>
        <w:t xml:space="preserve"> мягконабивн</w:t>
      </w:r>
      <w:r>
        <w:t xml:space="preserve">ые, </w:t>
      </w:r>
      <w:r>
        <w:t>игрушк</w:t>
      </w:r>
      <w:r>
        <w:t>и</w:t>
      </w:r>
      <w:r>
        <w:t xml:space="preserve"> модел</w:t>
      </w:r>
      <w:r>
        <w:t>и</w:t>
      </w:r>
      <w:r>
        <w:t>-копи</w:t>
      </w:r>
      <w:r>
        <w:t xml:space="preserve">и) </w:t>
      </w:r>
      <w:r>
        <w:t>(дал</w:t>
      </w:r>
      <w:r>
        <w:t xml:space="preserve">ее – игрушки).  </w:t>
      </w:r>
    </w:p>
    <w:p w14:paraId="76000000">
      <w:pPr>
        <w:widowControl w:val="1"/>
        <w:ind/>
        <w:jc w:val="both"/>
      </w:pPr>
      <w:r>
        <w:t>28</w:t>
      </w:r>
      <w:r>
        <w:rPr>
          <w:vertAlign w:val="superscript"/>
        </w:rPr>
        <w:t>2</w:t>
      </w:r>
      <w:r>
        <w:t>. Знак возрастной категории игрушк</w:t>
      </w:r>
      <w:r>
        <w:t xml:space="preserve">ам </w:t>
      </w:r>
      <w:r>
        <w:t>присваивается</w:t>
      </w:r>
      <w:r>
        <w:t xml:space="preserve"> продавцом (производителем)</w:t>
      </w:r>
      <w:r>
        <w:t xml:space="preserve"> </w:t>
      </w:r>
      <w:r>
        <w:t xml:space="preserve">до начала их распространения, </w:t>
      </w:r>
      <w:r>
        <w:t>за исключением случаев, когда наличи</w:t>
      </w:r>
      <w:r>
        <w:t>е</w:t>
      </w:r>
      <w:r>
        <w:t xml:space="preserve"> </w:t>
      </w:r>
      <w:r>
        <w:t>такого знака является необязател</w:t>
      </w:r>
      <w:r>
        <w:t>ьным в соответст</w:t>
      </w:r>
      <w:r>
        <w:t>вии с законодательными актами</w:t>
      </w:r>
      <w:r>
        <w:t xml:space="preserve">. </w:t>
      </w:r>
    </w:p>
    <w:p w14:paraId="77000000">
      <w:pPr>
        <w:widowControl w:val="1"/>
        <w:ind/>
        <w:jc w:val="both"/>
      </w:pPr>
      <w:r>
        <w:t>28</w:t>
      </w:r>
      <w:r>
        <w:rPr>
          <w:vertAlign w:val="superscript"/>
        </w:rPr>
        <w:t>3</w:t>
      </w:r>
      <w:r>
        <w:t xml:space="preserve">. Знак </w:t>
      </w:r>
      <w:r>
        <w:t xml:space="preserve">возрастной </w:t>
      </w:r>
      <w:r>
        <w:t>категории, присвоенный игрушке, размещается на этикетке, прикрепленной к ней, либо на потребительской упаковке.</w:t>
      </w:r>
    </w:p>
    <w:p w14:paraId="78000000">
      <w:pPr>
        <w:widowControl w:val="1"/>
        <w:ind/>
        <w:jc w:val="both"/>
      </w:pPr>
      <w:r>
        <w:t>28</w:t>
      </w:r>
      <w:r>
        <w:rPr>
          <w:vertAlign w:val="superscript"/>
        </w:rPr>
        <w:t>4</w:t>
      </w:r>
      <w:r>
        <w:t>. При размещении знака возрастной кате</w:t>
      </w:r>
      <w:r>
        <w:t>г</w:t>
      </w:r>
      <w:r>
        <w:t>о</w:t>
      </w:r>
      <w:r>
        <w:t xml:space="preserve">рии на потребительской упаковке </w:t>
      </w:r>
      <w:r>
        <w:t>игрушки он нанос</w:t>
      </w:r>
      <w:r>
        <w:t>ится на сторону, содержащую наименование т</w:t>
      </w:r>
      <w:r>
        <w:t>акой продук</w:t>
      </w:r>
      <w:r>
        <w:t xml:space="preserve">ции. </w:t>
      </w:r>
    </w:p>
    <w:p w14:paraId="79000000">
      <w:pPr>
        <w:widowControl w:val="1"/>
        <w:ind/>
        <w:jc w:val="both"/>
      </w:pPr>
      <w:r>
        <w:t>Знак возрастной категории на потребительской упаковке должен быть такого размера, чтобы его изображение было отчетливо различимо и ясно видимо потр</w:t>
      </w:r>
      <w:r>
        <w:t>е</w:t>
      </w:r>
      <w:r>
        <w:t>б</w:t>
      </w:r>
      <w:r>
        <w:t>ителю.</w:t>
      </w:r>
    </w:p>
    <w:p w14:paraId="7A000000">
      <w:pPr>
        <w:widowControl w:val="1"/>
        <w:ind/>
        <w:jc w:val="both"/>
      </w:pPr>
      <w:r>
        <w:t>28</w:t>
      </w:r>
      <w:r>
        <w:rPr>
          <w:vertAlign w:val="superscript"/>
        </w:rPr>
        <w:t>5</w:t>
      </w:r>
      <w:r>
        <w:t>. Знак возрастной кате</w:t>
      </w:r>
      <w:r>
        <w:t>гории должен соо</w:t>
      </w:r>
      <w:r>
        <w:t>тветствовать самой старшей возрастной кате</w:t>
      </w:r>
      <w:r>
        <w:t>гории игруш</w:t>
      </w:r>
      <w:r>
        <w:t>ки.</w:t>
      </w:r>
    </w:p>
    <w:p w14:paraId="7B000000">
      <w:pPr>
        <w:widowControl w:val="1"/>
        <w:ind/>
        <w:jc w:val="both"/>
      </w:pPr>
      <w:r>
        <w:rPr>
          <w:spacing w:val="-4"/>
        </w:rPr>
        <w:t>28</w:t>
      </w:r>
      <w:r>
        <w:rPr>
          <w:spacing w:val="-4"/>
          <w:vertAlign w:val="superscript"/>
        </w:rPr>
        <w:t>6</w:t>
      </w:r>
      <w:r>
        <w:rPr>
          <w:spacing w:val="-4"/>
        </w:rPr>
        <w:t>. Продукция, подпадающая по своим характеристикам к возрастной</w:t>
      </w:r>
      <w:r>
        <w:t xml:space="preserve"> категории ”18+“, не является игрушкой. Продавец (производитель) обеспечивает ее реа</w:t>
      </w:r>
      <w:r>
        <w:t>л</w:t>
      </w:r>
      <w:r>
        <w:t>и</w:t>
      </w:r>
      <w:r>
        <w:t xml:space="preserve">зацию в местах, недоступных для </w:t>
      </w:r>
      <w:r>
        <w:t>детей.“;</w:t>
      </w:r>
    </w:p>
    <w:p w14:paraId="7C000000">
      <w:pPr>
        <w:widowControl w:val="1"/>
        <w:ind/>
        <w:jc w:val="both"/>
      </w:pPr>
      <w:r>
        <w:t>в Полож</w:t>
      </w:r>
      <w:r>
        <w:t>ении о критериях определения возрастной ка</w:t>
      </w:r>
      <w:r>
        <w:t>тегории дет</w:t>
      </w:r>
      <w:r>
        <w:t>ей, среди которых допускается распространение информационной продукции, утвержденном этим постановлением:</w:t>
      </w:r>
    </w:p>
    <w:p w14:paraId="7D000000">
      <w:pPr>
        <w:widowControl w:val="1"/>
        <w:ind/>
        <w:jc w:val="both"/>
      </w:pPr>
      <w:r>
        <w:t>пункт 1</w:t>
      </w:r>
      <w:r>
        <w:t xml:space="preserve"> </w:t>
      </w:r>
      <w:r>
        <w:t>после слова ”носителей“ дополнить слова</w:t>
      </w:r>
      <w:r>
        <w:t>м</w:t>
      </w:r>
      <w:r>
        <w:t>и</w:t>
      </w:r>
      <w:r>
        <w:t xml:space="preserve"> ”, игрушек, являющихся воспроиз</w:t>
      </w:r>
      <w:r>
        <w:t xml:space="preserve">ведением героев </w:t>
      </w:r>
      <w:r>
        <w:t>компьютерных игр и фильмов“;</w:t>
      </w:r>
    </w:p>
    <w:p w14:paraId="7E000000">
      <w:pPr>
        <w:widowControl w:val="1"/>
        <w:ind/>
        <w:jc w:val="both"/>
      </w:pPr>
      <w:r>
        <w:t>в абзаце шест</w:t>
      </w:r>
      <w:r>
        <w:t>ом пункта 5</w:t>
      </w:r>
      <w:r>
        <w:t xml:space="preserve"> и части первой пункта 6 слово ”психического“ заменить словом ”психологического“;</w:t>
      </w:r>
    </w:p>
    <w:p w14:paraId="7F000000">
      <w:pPr>
        <w:widowControl w:val="1"/>
        <w:ind/>
        <w:jc w:val="both"/>
      </w:pPr>
      <w:r>
        <w:t>2</w:t>
      </w:r>
      <w:r>
        <w:t>.</w:t>
      </w:r>
      <w:r>
        <w:t>7</w:t>
      </w:r>
      <w:r>
        <w:t>. </w:t>
      </w:r>
      <w:r>
        <w:t>у</w:t>
      </w:r>
      <w:r>
        <w:t xml:space="preserve"> пастанов</w:t>
      </w:r>
      <w:r>
        <w:t>е</w:t>
      </w:r>
      <w:r>
        <w:t xml:space="preserve"> Савета Міністраў Рэспублікі Беларусь ад</w:t>
      </w:r>
      <w:r>
        <w:t xml:space="preserve"> </w:t>
      </w:r>
      <w:r>
        <w:t>20</w:t>
      </w:r>
      <w:r>
        <w:t xml:space="preserve"> </w:t>
      </w:r>
      <w:r>
        <w:t xml:space="preserve">чэрвеня </w:t>
      </w:r>
      <w:r>
        <w:t>201</w:t>
      </w:r>
      <w:r>
        <w:t xml:space="preserve">8 </w:t>
      </w:r>
      <w:r>
        <w:t xml:space="preserve">г. № 468 </w:t>
      </w:r>
      <w:r>
        <w:t>”</w:t>
      </w:r>
      <w:r>
        <w:t>Аб зацвярджэнні Палажэ</w:t>
      </w:r>
      <w:r>
        <w:t>ння аб парадку п</w:t>
      </w:r>
      <w:r>
        <w:t>равядзення Рэспубліканскага</w:t>
      </w:r>
      <w:r>
        <w:t xml:space="preserve"> конкурсу </w:t>
      </w:r>
      <w:r>
        <w:t>”</w:t>
      </w:r>
      <w:r>
        <w:t>Нацыянальная літаратурная прэмія</w:t>
      </w:r>
      <w:r>
        <w:t>“</w:t>
      </w:r>
      <w:r>
        <w:t xml:space="preserve"> </w:t>
      </w:r>
      <w:r>
        <w:t xml:space="preserve">і ўнясенні змянення ў пастанову Савета Міністраў Рэспублікі Беларусь </w:t>
      </w:r>
      <w:r>
        <w:t>ад 2</w:t>
      </w:r>
      <w:r>
        <w:t> </w:t>
      </w:r>
      <w:r>
        <w:t>красавіка 2015 г. № 263</w:t>
      </w:r>
      <w:r>
        <w:t>“</w:t>
      </w:r>
      <w:r>
        <w:t>:</w:t>
      </w:r>
    </w:p>
    <w:p w14:paraId="80000000">
      <w:pPr>
        <w:widowControl w:val="1"/>
        <w:ind/>
        <w:jc w:val="both"/>
      </w:pPr>
      <w:r>
        <w:t>наз</w:t>
      </w:r>
      <w:r>
        <w:t>ву і прэамбулу выкласці ў насту</w:t>
      </w:r>
      <w:r>
        <w:t>пн</w:t>
      </w:r>
      <w:r>
        <w:t>ай рэдакцыі:</w:t>
      </w:r>
    </w:p>
    <w:p w14:paraId="81000000">
      <w:pPr>
        <w:widowControl w:val="1"/>
        <w:ind/>
        <w:jc w:val="both"/>
      </w:pPr>
      <w:r>
        <w:t>”</w:t>
      </w:r>
      <w:r>
        <w:t>Аб парадку правядз</w:t>
      </w:r>
      <w:r>
        <w:t>ення Рэспублікан</w:t>
      </w:r>
      <w:r>
        <w:t xml:space="preserve">скага конкурсу </w:t>
      </w:r>
      <w:r>
        <w:t>”</w:t>
      </w:r>
      <w:r>
        <w:t>Нацыянальная літаратурная прэмія</w:t>
      </w:r>
      <w:r>
        <w:t>“</w:t>
      </w:r>
    </w:p>
    <w:p w14:paraId="82000000">
      <w:pPr>
        <w:widowControl w:val="1"/>
        <w:ind/>
        <w:jc w:val="both"/>
        <w:rPr>
          <w:spacing w:val="-12"/>
        </w:rPr>
      </w:pPr>
      <w:r>
        <w:t xml:space="preserve">На падставе часткі трэцяй пункта 4 артыкула 209 Кодэкса Рэспублікі </w:t>
      </w:r>
      <w:r>
        <w:rPr>
          <w:spacing w:val="-8"/>
        </w:rPr>
        <w:t>Беларусь аб культуры</w:t>
      </w:r>
      <w:r>
        <w:rPr>
          <w:spacing w:val="-12"/>
        </w:rPr>
        <w:t xml:space="preserve"> </w:t>
      </w:r>
      <w:r>
        <w:rPr>
          <w:spacing w:val="-8"/>
        </w:rPr>
        <w:t>Савет Міністраў</w:t>
      </w:r>
      <w:r>
        <w:rPr>
          <w:spacing w:val="-12"/>
        </w:rPr>
        <w:t xml:space="preserve"> Рэспублікі Беларусь П</w:t>
      </w:r>
      <w:r>
        <w:rPr>
          <w:spacing w:val="-12"/>
        </w:rPr>
        <w:t>АСТАНАЎЛЯЕ:</w:t>
      </w:r>
      <w:r>
        <w:rPr>
          <w:spacing w:val="-12"/>
        </w:rPr>
        <w:t>“</w:t>
      </w:r>
      <w:r>
        <w:rPr>
          <w:spacing w:val="-12"/>
        </w:rPr>
        <w:t>;</w:t>
      </w:r>
    </w:p>
    <w:p w14:paraId="83000000">
      <w:pPr>
        <w:widowControl w:val="1"/>
        <w:ind/>
        <w:jc w:val="both"/>
      </w:pPr>
      <w:r>
        <w:t>у пункце 1:</w:t>
      </w:r>
    </w:p>
    <w:p w14:paraId="84000000">
      <w:pPr>
        <w:widowControl w:val="1"/>
        <w:ind/>
        <w:jc w:val="both"/>
      </w:pPr>
      <w:r>
        <w:t>слова</w:t>
      </w:r>
      <w:r>
        <w:t xml:space="preserve"> </w:t>
      </w:r>
      <w:r>
        <w:t>”</w:t>
      </w:r>
      <w:r>
        <w:t>прыкладзенае</w:t>
      </w:r>
      <w:r>
        <w:t>“</w:t>
      </w:r>
      <w:r>
        <w:t xml:space="preserve"> выключыць;</w:t>
      </w:r>
    </w:p>
    <w:p w14:paraId="85000000">
      <w:pPr>
        <w:widowControl w:val="1"/>
        <w:ind/>
        <w:jc w:val="both"/>
      </w:pPr>
      <w:r>
        <w:t>дапоўні</w:t>
      </w:r>
      <w:r>
        <w:t xml:space="preserve">ць пункт словам </w:t>
      </w:r>
      <w:r>
        <w:t>”</w:t>
      </w:r>
      <w:r>
        <w:t>(прыкладаецца)</w:t>
      </w:r>
      <w:r>
        <w:t>“</w:t>
      </w:r>
      <w:r>
        <w:t>;</w:t>
      </w:r>
    </w:p>
    <w:p w14:paraId="86000000">
      <w:pPr>
        <w:widowControl w:val="1"/>
        <w:ind/>
        <w:jc w:val="both"/>
      </w:pPr>
      <w:r>
        <w:t xml:space="preserve">у Палажэнні аб парадку правядзення Рэспубліканскага конкурсу </w:t>
      </w:r>
      <w:r>
        <w:t>”</w:t>
      </w:r>
      <w:r>
        <w:t>Нацыянальная літаратурная прэмія</w:t>
      </w:r>
      <w:r>
        <w:t>“</w:t>
      </w:r>
      <w:r>
        <w:t>, зацверджаным гэтай пастановай:</w:t>
      </w:r>
    </w:p>
    <w:p w14:paraId="87000000">
      <w:pPr>
        <w:widowControl w:val="1"/>
        <w:ind/>
        <w:jc w:val="both"/>
      </w:pPr>
      <w:r>
        <w:t xml:space="preserve">з пункта 3 словы </w:t>
      </w:r>
      <w:r>
        <w:t>”</w:t>
      </w:r>
      <w:r>
        <w:t>і грамадска</w:t>
      </w:r>
      <w:r>
        <w:t xml:space="preserve">е аб’яднанне </w:t>
      </w:r>
      <w:r>
        <w:t>”</w:t>
      </w:r>
      <w:r>
        <w:t>Саюз пісьменнікаў</w:t>
      </w:r>
      <w:r>
        <w:t xml:space="preserve"> Б</w:t>
      </w:r>
      <w:r>
        <w:t>еларусі</w:t>
      </w:r>
      <w:r>
        <w:t>“</w:t>
      </w:r>
      <w:r>
        <w:t xml:space="preserve"> выключыць;</w:t>
      </w:r>
    </w:p>
    <w:p w14:paraId="88000000">
      <w:pPr>
        <w:widowControl w:val="1"/>
        <w:ind/>
        <w:jc w:val="both"/>
      </w:pPr>
      <w:r>
        <w:t>у частцы пер</w:t>
      </w:r>
      <w:r>
        <w:t>шай пункта 17 сл</w:t>
      </w:r>
      <w:r>
        <w:t xml:space="preserve">овы </w:t>
      </w:r>
      <w:r>
        <w:t>”</w:t>
      </w:r>
      <w:r>
        <w:t>фінале конкурсу</w:t>
      </w:r>
      <w:r>
        <w:t>“</w:t>
      </w:r>
      <w:r>
        <w:t xml:space="preserve"> замяніць словам</w:t>
      </w:r>
      <w:r>
        <w:t xml:space="preserve"> </w:t>
      </w:r>
      <w:r>
        <w:t>”</w:t>
      </w:r>
      <w:r>
        <w:t>конкурсе</w:t>
      </w:r>
      <w:r>
        <w:t>“</w:t>
      </w:r>
      <w:r>
        <w:t>;</w:t>
      </w:r>
    </w:p>
    <w:p w14:paraId="89000000">
      <w:pPr>
        <w:widowControl w:val="1"/>
        <w:ind/>
        <w:jc w:val="both"/>
      </w:pPr>
      <w:r>
        <w:t>пункт 19 выкласці ў наступнай рэдакцыі:</w:t>
      </w:r>
    </w:p>
    <w:p w14:paraId="8A000000">
      <w:pPr>
        <w:widowControl w:val="1"/>
        <w:ind/>
        <w:jc w:val="both"/>
      </w:pPr>
      <w:r>
        <w:t>”</w:t>
      </w:r>
      <w:r>
        <w:t>19. Фіналам конкурсу з’яўляецца ўзнагароджанне пераможцаў конкурсу, якое праводзіцца</w:t>
      </w:r>
      <w:r>
        <w:t xml:space="preserve"> ва ўрачыстай абстаноўцы ў час </w:t>
      </w:r>
      <w:r>
        <w:t>св</w:t>
      </w:r>
      <w:r>
        <w:t>яткавання Дня беларускага пісьме</w:t>
      </w:r>
      <w:r>
        <w:t>нства.</w:t>
      </w:r>
      <w:r>
        <w:t>“</w:t>
      </w:r>
      <w:r>
        <w:t>;</w:t>
      </w:r>
    </w:p>
    <w:p w14:paraId="8B000000">
      <w:pPr>
        <w:widowControl w:val="1"/>
        <w:ind/>
        <w:jc w:val="both"/>
      </w:pPr>
      <w:r>
        <w:t>2</w:t>
      </w:r>
      <w:r>
        <w:t>.</w:t>
      </w:r>
      <w:r>
        <w:t>8</w:t>
      </w:r>
      <w:r>
        <w:t>. </w:t>
      </w:r>
      <w:r>
        <w:t xml:space="preserve">в </w:t>
      </w:r>
      <w:r>
        <w:t xml:space="preserve">абзаце втором пункта 16 Положения о непрерывном профессиональном </w:t>
      </w:r>
      <w:r>
        <w:t>образовании руководящих работников и специалистов, утвержденного постановлением Совета Мини</w:t>
      </w:r>
      <w:r>
        <w:t>стров Республики</w:t>
      </w:r>
      <w:r>
        <w:t xml:space="preserve"> Беларусь от </w:t>
      </w:r>
      <w:r>
        <w:t xml:space="preserve">1 сентября 2022 г. № </w:t>
      </w:r>
      <w:r>
        <w:t>57</w:t>
      </w:r>
      <w:r>
        <w:t xml:space="preserve">4, слова </w:t>
      </w:r>
      <w:r>
        <w:t>”</w:t>
      </w:r>
      <w:r>
        <w:t>Минский государственны</w:t>
      </w:r>
      <w:r>
        <w:t>й лингвистичес</w:t>
      </w:r>
      <w:r>
        <w:t>ки</w:t>
      </w:r>
      <w:r>
        <w:t>й университет</w:t>
      </w:r>
      <w:r>
        <w:t>“</w:t>
      </w:r>
      <w:r>
        <w:t xml:space="preserve"> заменить словами </w:t>
      </w:r>
      <w:r>
        <w:t>”</w:t>
      </w:r>
      <w:r>
        <w:t>Белорусский государственный унив</w:t>
      </w:r>
      <w:r>
        <w:t>ерситет иностранных языков</w:t>
      </w:r>
      <w:r>
        <w:t>“</w:t>
      </w:r>
      <w:r>
        <w:t>;</w:t>
      </w:r>
    </w:p>
    <w:p w14:paraId="8C000000">
      <w:pPr>
        <w:widowControl w:val="1"/>
        <w:ind/>
        <w:jc w:val="both"/>
      </w:pPr>
      <w:r>
        <w:t>2</w:t>
      </w:r>
      <w:r>
        <w:t>.</w:t>
      </w:r>
      <w:r>
        <w:t>9</w:t>
      </w:r>
      <w:r>
        <w:t>. </w:t>
      </w:r>
      <w:r>
        <w:t>пункт 30 приложения 3 к кадровому реестру Совета Министро</w:t>
      </w:r>
      <w:r>
        <w:t>в Республики</w:t>
      </w:r>
      <w:r>
        <w:t xml:space="preserve"> Беларусь</w:t>
      </w:r>
      <w:r>
        <w:t>, утвержденно</w:t>
      </w:r>
      <w:r>
        <w:t>му постановление</w:t>
      </w:r>
      <w:r>
        <w:t xml:space="preserve">м </w:t>
      </w:r>
      <w:r>
        <w:t>Совета Министров Республики Бела</w:t>
      </w:r>
      <w:r>
        <w:t>русь от 16 мая 2</w:t>
      </w:r>
      <w:r>
        <w:t>024</w:t>
      </w:r>
      <w:r>
        <w:t xml:space="preserve"> г. № 347, изложить в следующей редакции:</w:t>
      </w:r>
    </w:p>
    <w:p w14:paraId="8D000000">
      <w:pPr>
        <w:widowControl w:val="1"/>
        <w:ind/>
        <w:jc w:val="both"/>
      </w:pPr>
      <w:r>
        <w:t>”</w:t>
      </w:r>
      <w:r>
        <w:t>30.</w:t>
      </w:r>
      <w:r>
        <w:t> </w:t>
      </w:r>
      <w:r>
        <w:t>Ректор учрежден</w:t>
      </w:r>
      <w:r>
        <w:t xml:space="preserve">ия образования </w:t>
      </w:r>
      <w:r>
        <w:t>”</w:t>
      </w:r>
      <w:r>
        <w:t>Белорусский государственный университет иностранных языков</w:t>
      </w:r>
      <w:r>
        <w:t>“</w:t>
      </w:r>
      <w:r>
        <w:t>.</w:t>
      </w:r>
    </w:p>
    <w:p w14:paraId="8E000000">
      <w:pPr>
        <w:widowControl w:val="1"/>
        <w:ind/>
        <w:jc w:val="both"/>
      </w:pPr>
      <w:r>
        <w:t>3</w:t>
      </w:r>
      <w:r>
        <w:t>.</w:t>
      </w:r>
      <w:r>
        <w:t> </w:t>
      </w:r>
      <w:r>
        <w:t>Настоящее п</w:t>
      </w:r>
      <w:r>
        <w:t>остановление вступает</w:t>
      </w:r>
      <w:r>
        <w:t xml:space="preserve"> в силу после</w:t>
      </w:r>
      <w:r>
        <w:t xml:space="preserve"> его официальног</w:t>
      </w:r>
      <w:r>
        <w:t xml:space="preserve">о </w:t>
      </w:r>
      <w:r>
        <w:t>опубликования.</w:t>
      </w:r>
    </w:p>
    <w:p w14:paraId="8F000000">
      <w:pPr>
        <w:widowControl w:val="1"/>
        <w:ind w:firstLine="0"/>
        <w:jc w:val="both"/>
      </w:pPr>
    </w:p>
    <w:p w14:paraId="90000000">
      <w:pPr>
        <w:widowControl w:val="1"/>
        <w:ind w:firstLine="0"/>
        <w:jc w:val="both"/>
      </w:pPr>
      <w:r>
        <w:drawing>
          <wp:anchor allowOverlap="true" behindDoc="false" layoutInCell="true" locked="false" relativeHeight="251658240" simplePos="false">
            <wp:simplePos x="0" y="0"/>
            <wp:positionH relativeFrom="page">
              <wp:posOffset>2692400</wp:posOffset>
            </wp:positionH>
            <wp:positionV relativeFrom="page">
              <wp:posOffset>3192145</wp:posOffset>
            </wp:positionV>
            <wp:extent cx="1261745" cy="1261745"/>
            <wp:wrapNone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1261745" cy="1261745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91000000">
      <w:pPr>
        <w:widowControl w:val="1"/>
        <w:spacing w:line="280" w:lineRule="exact"/>
        <w:ind w:firstLine="0"/>
        <w:jc w:val="both"/>
      </w:pPr>
      <w:r>
        <w:t>Премьер-министр</w:t>
      </w:r>
    </w:p>
    <w:p w14:paraId="92000000">
      <w:pPr>
        <w:widowControl w:val="1"/>
        <w:tabs>
          <w:tab w:leader="none" w:pos="9639" w:val="right"/>
        </w:tabs>
        <w:spacing w:line="280" w:lineRule="exact"/>
        <w:ind w:firstLine="0"/>
        <w:jc w:val="both"/>
      </w:pPr>
      <w:r>
        <w:t>Республики Бела</w:t>
      </w:r>
      <w:r>
        <w:t>ру</w:t>
      </w:r>
      <w:r>
        <w:t>сь</w:t>
      </w:r>
      <w:r>
        <w:tab/>
      </w:r>
      <w:r>
        <w:t>А.Турчин</w:t>
      </w:r>
    </w:p>
    <w:p w14:paraId="93000000">
      <w:pPr>
        <w:widowControl w:val="1"/>
        <w:spacing w:line="280" w:lineRule="exact"/>
        <w:ind w:firstLine="0"/>
        <w:jc w:val="both"/>
      </w:pPr>
    </w:p>
    <w:p w14:paraId="94000000">
      <w:pPr>
        <w:widowControl w:val="1"/>
        <w:spacing w:line="280" w:lineRule="exact"/>
        <w:ind w:firstLine="0"/>
        <w:jc w:val="both"/>
      </w:pPr>
    </w:p>
    <w:p w14:paraId="95000000">
      <w:pPr>
        <w:widowControl w:val="1"/>
        <w:spacing w:line="280" w:lineRule="exact"/>
        <w:ind w:firstLine="0"/>
        <w:jc w:val="both"/>
      </w:pPr>
      <w:r>
        <w:t>05</w:t>
      </w:r>
      <w:r>
        <w:t xml:space="preserve">, </w:t>
      </w:r>
      <w:r>
        <w:t>07</w:t>
      </w:r>
    </w:p>
    <w:p w14:paraId="96000000">
      <w:pPr>
        <w:widowControl w:val="1"/>
        <w:spacing w:line="280" w:lineRule="exact"/>
        <w:ind w:firstLine="0"/>
        <w:jc w:val="both"/>
      </w:pPr>
    </w:p>
    <w:p w14:paraId="97000000">
      <w:pPr>
        <w:widowControl w:val="1"/>
        <w:spacing w:line="280" w:lineRule="exact"/>
        <w:ind w:firstLine="0"/>
        <w:jc w:val="both"/>
      </w:pPr>
    </w:p>
    <w:p w14:paraId="98000000">
      <w:pPr>
        <w:widowControl w:val="1"/>
        <w:spacing w:line="280" w:lineRule="exact"/>
        <w:ind w:firstLine="0"/>
        <w:jc w:val="both"/>
      </w:pPr>
    </w:p>
    <w:p w14:paraId="99000000">
      <w:pPr>
        <w:widowControl w:val="1"/>
        <w:spacing w:line="280" w:lineRule="exact"/>
        <w:ind w:firstLine="0"/>
        <w:jc w:val="both"/>
      </w:pPr>
    </w:p>
    <w:p w14:paraId="9A000000">
      <w:pPr>
        <w:widowControl w:val="1"/>
        <w:spacing w:line="280" w:lineRule="exact"/>
        <w:ind w:firstLine="0"/>
        <w:jc w:val="both"/>
      </w:pPr>
    </w:p>
    <w:p w14:paraId="9B000000">
      <w:pPr>
        <w:widowControl w:val="1"/>
        <w:spacing w:line="280" w:lineRule="exact"/>
        <w:ind w:firstLine="0"/>
        <w:jc w:val="both"/>
      </w:pPr>
    </w:p>
    <w:p w14:paraId="9C000000">
      <w:pPr>
        <w:widowControl w:val="1"/>
        <w:spacing w:line="280" w:lineRule="exact"/>
        <w:ind w:firstLine="0"/>
        <w:jc w:val="both"/>
      </w:pPr>
    </w:p>
    <w:p w14:paraId="9D000000">
      <w:pPr>
        <w:widowControl w:val="1"/>
        <w:spacing w:line="280" w:lineRule="exact"/>
        <w:ind w:firstLine="0"/>
        <w:jc w:val="both"/>
      </w:pPr>
    </w:p>
    <w:p w14:paraId="9E000000">
      <w:pPr>
        <w:widowControl w:val="1"/>
        <w:spacing w:line="280" w:lineRule="exact"/>
        <w:ind w:firstLine="0"/>
        <w:jc w:val="both"/>
      </w:pPr>
    </w:p>
    <w:p w14:paraId="9F000000">
      <w:pPr>
        <w:widowControl w:val="1"/>
        <w:spacing w:line="280" w:lineRule="exact"/>
        <w:ind w:firstLine="0"/>
        <w:jc w:val="both"/>
      </w:pPr>
    </w:p>
    <w:p w14:paraId="A0000000">
      <w:pPr>
        <w:widowControl w:val="1"/>
        <w:spacing w:line="280" w:lineRule="exact"/>
        <w:ind w:firstLine="0"/>
        <w:jc w:val="both"/>
      </w:pPr>
    </w:p>
    <w:p w14:paraId="A1000000">
      <w:pPr>
        <w:widowControl w:val="1"/>
        <w:spacing w:line="280" w:lineRule="exact"/>
        <w:ind w:firstLine="0"/>
        <w:jc w:val="both"/>
      </w:pPr>
    </w:p>
    <w:p w14:paraId="A2000000">
      <w:pPr>
        <w:widowControl w:val="1"/>
        <w:spacing w:line="280" w:lineRule="exact"/>
        <w:ind w:firstLine="0"/>
        <w:jc w:val="both"/>
      </w:pPr>
    </w:p>
    <w:p w14:paraId="A3000000">
      <w:pPr>
        <w:widowControl w:val="1"/>
        <w:spacing w:line="280" w:lineRule="exact"/>
        <w:ind w:firstLine="0"/>
        <w:jc w:val="both"/>
      </w:pPr>
    </w:p>
    <w:p w14:paraId="A4000000">
      <w:pPr>
        <w:widowControl w:val="1"/>
        <w:spacing w:line="280" w:lineRule="exact"/>
        <w:ind w:firstLine="0"/>
        <w:jc w:val="both"/>
      </w:pPr>
    </w:p>
    <w:p w14:paraId="A5000000">
      <w:pPr>
        <w:widowControl w:val="1"/>
        <w:spacing w:line="280" w:lineRule="exact"/>
        <w:ind w:firstLine="0"/>
        <w:jc w:val="both"/>
      </w:pPr>
    </w:p>
    <w:p w14:paraId="A6000000">
      <w:pPr>
        <w:widowControl w:val="1"/>
        <w:spacing w:line="280" w:lineRule="exact"/>
        <w:ind w:firstLine="0"/>
        <w:jc w:val="both"/>
      </w:pPr>
    </w:p>
    <w:p w14:paraId="A7000000">
      <w:pPr>
        <w:widowControl w:val="1"/>
        <w:spacing w:line="280" w:lineRule="exact"/>
        <w:ind w:firstLine="0"/>
        <w:jc w:val="both"/>
      </w:pPr>
    </w:p>
    <w:p w14:paraId="A8000000">
      <w:pPr>
        <w:widowControl w:val="1"/>
        <w:spacing w:line="280" w:lineRule="exact"/>
        <w:ind w:firstLine="0"/>
        <w:jc w:val="both"/>
      </w:pPr>
    </w:p>
    <w:p w14:paraId="A9000000">
      <w:pPr>
        <w:widowControl w:val="1"/>
        <w:spacing w:line="280" w:lineRule="exact"/>
        <w:ind w:firstLine="0"/>
        <w:jc w:val="both"/>
      </w:pPr>
    </w:p>
    <w:p w14:paraId="AA000000">
      <w:pPr>
        <w:widowControl w:val="1"/>
        <w:spacing w:line="280" w:lineRule="exact"/>
        <w:ind w:firstLine="0"/>
        <w:jc w:val="both"/>
      </w:pPr>
    </w:p>
    <w:p w14:paraId="AB000000">
      <w:pPr>
        <w:widowControl w:val="1"/>
        <w:spacing w:line="280" w:lineRule="exact"/>
        <w:ind w:firstLine="0"/>
        <w:jc w:val="both"/>
      </w:pPr>
    </w:p>
    <w:p w14:paraId="AC000000">
      <w:pPr>
        <w:widowControl w:val="1"/>
        <w:spacing w:line="280" w:lineRule="exact"/>
        <w:ind w:firstLine="0"/>
        <w:jc w:val="both"/>
      </w:pPr>
    </w:p>
    <w:p w14:paraId="AD000000">
      <w:pPr>
        <w:widowControl w:val="1"/>
        <w:spacing w:line="280" w:lineRule="exact"/>
        <w:ind w:firstLine="0"/>
        <w:jc w:val="both"/>
      </w:pPr>
    </w:p>
    <w:p w14:paraId="AE000000">
      <w:pPr>
        <w:widowControl w:val="1"/>
        <w:spacing w:line="280" w:lineRule="exact"/>
        <w:ind w:firstLine="0"/>
        <w:jc w:val="both"/>
      </w:pPr>
    </w:p>
    <w:p w14:paraId="AF000000">
      <w:pPr>
        <w:widowControl w:val="1"/>
        <w:spacing w:line="280" w:lineRule="exact"/>
        <w:ind w:firstLine="0"/>
        <w:jc w:val="both"/>
      </w:pPr>
    </w:p>
    <w:p w14:paraId="B0000000">
      <w:pPr>
        <w:widowControl w:val="1"/>
        <w:spacing w:line="280" w:lineRule="exact"/>
        <w:ind w:firstLine="0"/>
        <w:jc w:val="both"/>
      </w:pPr>
    </w:p>
    <w:p w14:paraId="B1000000">
      <w:pPr>
        <w:widowControl w:val="1"/>
        <w:spacing w:line="280" w:lineRule="exact"/>
        <w:ind w:firstLine="0"/>
        <w:jc w:val="both"/>
      </w:pPr>
    </w:p>
    <w:p w14:paraId="B2000000">
      <w:pPr>
        <w:widowControl w:val="1"/>
        <w:spacing w:line="280" w:lineRule="exact"/>
        <w:ind w:firstLine="0"/>
        <w:jc w:val="both"/>
      </w:pPr>
    </w:p>
    <w:p w14:paraId="B3000000">
      <w:pPr>
        <w:widowControl w:val="1"/>
        <w:spacing w:line="180" w:lineRule="exact"/>
        <w:ind w:firstLine="0"/>
        <w:jc w:val="both"/>
        <w:rPr>
          <w:sz w:val="18"/>
        </w:rPr>
      </w:pPr>
    </w:p>
    <w:sectPr>
      <w:headerReference r:id="rId1" w:type="default"/>
      <w:pgSz w:h="16840" w:orient="portrait" w:w="11907"/>
      <w:pgMar w:bottom="1134" w:footer="720" w:gutter="0" w:header="72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 w:firstLine="0"/>
      <w:jc w:val="center"/>
      <w:rPr>
        <w:sz w:val="28"/>
      </w:rPr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>
      <w:rPr>
        <w:sz w:val="28"/>
      </w:rPr>
      <w:t xml:space="preserve"> </w:t>
    </w:r>
    <w:r>
      <w:rPr>
        <w:sz w:val="28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ind w:firstLine="709"/>
    </w:pPr>
    <w:rPr>
      <w:sz w:val="30"/>
    </w:rPr>
  </w:style>
  <w:style w:default="1" w:styleId="Style_3_ch" w:type="character">
    <w:name w:val="Normal"/>
    <w:link w:val="Style_3"/>
    <w:rPr>
      <w:sz w:val="30"/>
    </w:rPr>
  </w:style>
  <w:style w:styleId="Style_1" w:type="paragraph">
    <w:name w:val="header"/>
    <w:basedOn w:val="Style_3"/>
    <w:link w:val="Style_1_ch"/>
    <w:pPr>
      <w:widowControl w:val="1"/>
      <w:tabs>
        <w:tab w:leader="none" w:pos="4536" w:val="center"/>
        <w:tab w:leader="none" w:pos="9072" w:val="right"/>
      </w:tabs>
      <w:ind/>
    </w:pPr>
  </w:style>
  <w:style w:styleId="Style_1_ch" w:type="character">
    <w:name w:val="header"/>
    <w:basedOn w:val="Style_3_ch"/>
    <w:link w:val="Style_1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3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Balloon Text"/>
    <w:basedOn w:val="Style_3"/>
    <w:link w:val="Style_10_ch"/>
    <w:rPr>
      <w:rFonts w:ascii="Tahoma" w:hAnsi="Tahoma"/>
      <w:sz w:val="16"/>
    </w:rPr>
  </w:style>
  <w:style w:styleId="Style_10_ch" w:type="character">
    <w:name w:val="Balloon Text"/>
    <w:basedOn w:val="Style_3_ch"/>
    <w:link w:val="Style_10"/>
    <w:rPr>
      <w:rFonts w:ascii="Tahoma" w:hAnsi="Tahoma"/>
      <w:sz w:val="16"/>
    </w:rPr>
  </w:style>
  <w:style w:styleId="Style_11" w:type="paragraph">
    <w:name w:val="footer"/>
    <w:basedOn w:val="Style_3"/>
    <w:link w:val="Style_11_ch"/>
    <w:pPr>
      <w:widowControl w:val="1"/>
      <w:tabs>
        <w:tab w:leader="none" w:pos="4153" w:val="center"/>
        <w:tab w:leader="none" w:pos="8306" w:val="right"/>
      </w:tabs>
      <w:ind/>
    </w:pPr>
  </w:style>
  <w:style w:styleId="Style_11_ch" w:type="character">
    <w:name w:val="footer"/>
    <w:basedOn w:val="Style_3_ch"/>
    <w:link w:val="Style_11"/>
  </w:style>
  <w:style w:styleId="Style_12" w:type="paragraph">
    <w:name w:val="Body Text"/>
    <w:basedOn w:val="Style_3"/>
    <w:link w:val="Style_12_ch"/>
    <w:pPr>
      <w:widowControl w:val="1"/>
      <w:tabs>
        <w:tab w:leader="none" w:pos="709" w:val="left"/>
      </w:tabs>
      <w:spacing w:line="280" w:lineRule="exact"/>
      <w:ind w:firstLine="0"/>
    </w:pPr>
    <w:rPr>
      <w:i w:val="1"/>
    </w:rPr>
  </w:style>
  <w:style w:styleId="Style_12_ch" w:type="character">
    <w:name w:val="Body Text"/>
    <w:basedOn w:val="Style_3_ch"/>
    <w:link w:val="Style_12"/>
    <w:rPr>
      <w:i w:val="1"/>
    </w:rPr>
  </w:style>
  <w:style w:styleId="Style_13" w:type="paragraph">
    <w:name w:val="toc 3"/>
    <w:next w:val="Style_3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3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basedOn w:val="Style_3"/>
    <w:next w:val="Style_3"/>
    <w:link w:val="Style_15_ch"/>
    <w:uiPriority w:val="9"/>
    <w:qFormat/>
    <w:pPr>
      <w:keepNext w:val="1"/>
      <w:widowControl w:val="1"/>
      <w:tabs>
        <w:tab w:leader="none" w:pos="709" w:val="left"/>
      </w:tabs>
      <w:spacing w:line="280" w:lineRule="exact"/>
      <w:ind w:firstLine="0"/>
      <w:outlineLvl w:val="0"/>
    </w:pPr>
    <w:rPr>
      <w:i w:val="1"/>
    </w:rPr>
  </w:style>
  <w:style w:styleId="Style_15_ch" w:type="character">
    <w:name w:val="heading 1"/>
    <w:basedOn w:val="Style_3_ch"/>
    <w:link w:val="Style_15"/>
    <w:rPr>
      <w:i w:val="1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3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page number"/>
    <w:basedOn w:val="Style_21"/>
    <w:link w:val="Style_20_ch"/>
  </w:style>
  <w:style w:styleId="Style_20_ch" w:type="character">
    <w:name w:val="page number"/>
    <w:basedOn w:val="Style_21_ch"/>
    <w:link w:val="Style_20"/>
  </w:style>
  <w:style w:styleId="Style_22" w:type="paragraph">
    <w:name w:val="toc 9"/>
    <w:next w:val="Style_3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3" w:type="paragraph">
    <w:name w:val="toc 8"/>
    <w:next w:val="Style_3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3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3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3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3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basedOn w:val="Style_3"/>
    <w:next w:val="Style_3"/>
    <w:link w:val="Style_28_ch"/>
    <w:uiPriority w:val="9"/>
    <w:qFormat/>
    <w:pPr>
      <w:keepNext w:val="1"/>
      <w:widowControl w:val="1"/>
      <w:ind w:firstLine="0"/>
      <w:jc w:val="center"/>
      <w:outlineLvl w:val="1"/>
    </w:pPr>
    <w:rPr>
      <w:spacing w:val="116"/>
      <w:sz w:val="36"/>
    </w:rPr>
  </w:style>
  <w:style w:styleId="Style_28_ch" w:type="character">
    <w:name w:val="heading 2"/>
    <w:basedOn w:val="Style_3_ch"/>
    <w:link w:val="Style_28"/>
    <w:rPr>
      <w:spacing w:val="116"/>
      <w:sz w:val="36"/>
    </w:rPr>
  </w:style>
  <w:style w:styleId="Style_29" w:type="table">
    <w:name w:val="Table Grid"/>
    <w:basedOn w:val="Style_2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media/1.jpeg" Type="http://schemas.openxmlformats.org/officeDocument/2006/relationships/image"/>
  <Relationship Id="rId3" Target="media/2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MyOffice-CoreFramework-Android/38-1384.1107.10145.1019.1@c2410d8ee4f0a04d0891967678df67bf0b929a69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2026-01-16T07:42:00Z</dcterms:created>
  <dcterms:modified xsi:type="dcterms:W3CDTF">2026-01-28T06:27:00Z</dcterms:modified>
</cp:coreProperties>
</file>