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9F" w:rsidRDefault="00CF4C9F" w:rsidP="00CF4C9F">
      <w:pPr>
        <w:pStyle w:val="a3"/>
        <w:spacing w:line="280" w:lineRule="exact"/>
        <w:ind w:left="-142"/>
        <w:rPr>
          <w:spacing w:val="-6"/>
        </w:rPr>
      </w:pPr>
      <w:r>
        <w:rPr>
          <w:spacing w:val="-6"/>
        </w:rPr>
        <w:t xml:space="preserve">О некоторых вопросах вступительной </w:t>
      </w:r>
    </w:p>
    <w:p w:rsidR="00CF4C9F" w:rsidRDefault="00CF4C9F" w:rsidP="00CF4C9F">
      <w:pPr>
        <w:pStyle w:val="a3"/>
        <w:spacing w:line="280" w:lineRule="exact"/>
        <w:ind w:left="-142"/>
        <w:rPr>
          <w:spacing w:val="0"/>
        </w:rPr>
      </w:pPr>
      <w:r>
        <w:rPr>
          <w:spacing w:val="0"/>
        </w:rPr>
        <w:t xml:space="preserve">кампании в УПТО </w:t>
      </w:r>
      <w:r>
        <w:rPr>
          <w:color w:val="auto"/>
          <w:spacing w:val="0"/>
        </w:rPr>
        <w:t>в 2022 году</w:t>
      </w:r>
      <w:r>
        <w:rPr>
          <w:spacing w:val="0"/>
        </w:rPr>
        <w:t xml:space="preserve"> </w:t>
      </w:r>
    </w:p>
    <w:p w:rsidR="00CF4C9F" w:rsidRDefault="00CF4C9F" w:rsidP="00CF4C9F">
      <w:pPr>
        <w:pStyle w:val="a3"/>
        <w:spacing w:line="360" w:lineRule="auto"/>
        <w:ind w:left="-142"/>
        <w:rPr>
          <w:spacing w:val="0"/>
        </w:rPr>
      </w:pP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образования полагает целесообразным обозначить наиболее важные моменты организации вступительной кампании 2022 года в учреждениях образования, реализующих образовательные программы профессионально-технического образования (далее – УПТО).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законодательством Министерством образования согласованы (утверждены) контрольные цифры приема (далее – КЦП) для получения профессионально-технического образования за счет средств бюджета и цифры приема (далее – ЦП) для получения профессионально-технического образования на платной основе в частных УПТО.</w:t>
      </w:r>
    </w:p>
    <w:p w:rsidR="00CF4C9F" w:rsidRDefault="00CF4C9F" w:rsidP="00CF4C9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Прием в 2022 году будут осуществлять 122 учреждения профессионально-технического образования и 41 иное УПТО.</w:t>
      </w:r>
    </w:p>
    <w:p w:rsidR="00CF4C9F" w:rsidRDefault="00CF4C9F" w:rsidP="00CF4C9F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 учетом выполнения контрольных цифр приема в 2021 году, демографической ситуации, результатов трудоустройства выпускников и планов оптимизации сети УПТО и УССО в 2022 году для получения профессионально-технического образования планируется принять всего 26,0 тысяч человек, что составит 97,4 процента к плану приема 2021 года, в том числе за счет средств бюджета – 26,0 тысяч человек, на платной основе – 50 человек. </w:t>
      </w:r>
      <w:r>
        <w:rPr>
          <w:sz w:val="30"/>
          <w:szCs w:val="30"/>
        </w:rPr>
        <w:t>При этом для получения образования в дневной форме планируется зачислить 24,6 тысяч человек (97,7 процента к прошлому году), в том числе на основе общего базового образования – 18,9 тысяч человек, на основе общего среднего образования – 5,3 тысяч человек, на основе специального образования – 441 человека. Планируется принять 420 человек по заочной (</w:t>
      </w:r>
      <w:r>
        <w:rPr>
          <w:color w:val="000000"/>
          <w:sz w:val="30"/>
          <w:szCs w:val="30"/>
        </w:rPr>
        <w:t>98,8 процента к плану приема 2021 года)</w:t>
      </w:r>
      <w:r>
        <w:rPr>
          <w:sz w:val="30"/>
          <w:szCs w:val="30"/>
        </w:rPr>
        <w:t xml:space="preserve"> и 986 человек по вечерней (90</w:t>
      </w:r>
      <w:r>
        <w:rPr>
          <w:color w:val="000000"/>
          <w:sz w:val="30"/>
          <w:szCs w:val="30"/>
        </w:rPr>
        <w:t>,3 процента к плану приема 2021 года)</w:t>
      </w:r>
      <w:r>
        <w:rPr>
          <w:sz w:val="30"/>
          <w:szCs w:val="30"/>
        </w:rPr>
        <w:t xml:space="preserve"> формам получения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образования. Уменьшение планируется за счет дневной формы получения образования на 574 места (2,3 процента), заочной формы – на 5 мест (1,2 процента), вечерней формы – на 106 мест (9,7 процента).</w:t>
      </w:r>
    </w:p>
    <w:p w:rsidR="00CF4C9F" w:rsidRDefault="00CF4C9F" w:rsidP="00CF4C9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Сформированные КЦП и ЦП в соответствии с законодательством доведены до общественности до 1 апреля.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>Напоминаем о неукоснительном соблюдении утвержденных как КЦП за счет средств бюджета, так и ЦП на платной основе.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Республиканскими органами государственного управления, областными (Минским городским) исполнительными комитетами, организациями, имеющими в подчинении УПТО, актуализированы локальные нормативные правовые акты о возложении персональной ответственности на руководителей подчиненных учреждений образования за соблюдение законодательства о приеме. В частности, за </w:t>
      </w:r>
      <w:r>
        <w:rPr>
          <w:sz w:val="30"/>
          <w:szCs w:val="30"/>
        </w:rPr>
        <w:lastRenderedPageBreak/>
        <w:t>строгое соблюдение установленных КЦП, ЦП в учреждения образования по специальностям и формам получения образования за счет средств бюджета и на платной основе после их утверждения и доведения до общественности,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 среднем образовании с указанием фамилии руководителя учреждения общего среднего образования, подписавшего документ об общем среднем образовании с неверно подсчитанным средним баллом, и реквизитов учреждения образования.</w:t>
      </w:r>
    </w:p>
    <w:p w:rsidR="00CF4C9F" w:rsidRDefault="00CF4C9F" w:rsidP="00CF4C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Совершенствуется структура подготовки кадров с профессионально-техническим образованием. Прием в 2022 году будет осуществляться по более, чем 250 квалификациям, планируется прекратить (приостановить) прием по 132 невостребованным квалификациям и открыть подготовку по 141 новой для отдельных УПТО квалификациям. 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Обращаем внимание на необходимость выполнения учреждениями образования статьи 22 Кодекса Республики Беларусь об образовании. Вновь открытые специальности и квалификации в обязательном порядке должны быть включены в устав учреждения образования до начала вступительной кампании. 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Прием в 2022 году на уровень профессионально-технического образования будет осуществляться в соответствии с Правилами приема лиц для получения профессионально-технического образования, утвержденными постановлением Правительства Республики Беларусь      от 14.07.2011 № 953 (в редакции постановлений Совета Министров Республики Беларусь от 19.07.2012 № 664, 03.04.2017 № 246, 11.01.2018 № 19) (далее – Правила приема). Условия приема, сроки и порядок подачи документов, проведения вступительных испытаний и зачисления установлены Правилами приема и в 2022 году остаются неизменными. 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работы приемных комиссий УПТО определен Положением о приемной комиссии учреждения профессионально-технического образования, утвержденным постановлением Министерства образования Республики Беларусь от 05.08.2011 № 216 (в редакции постановления Министерства образования Республики Беларусь от 30.06.2012 № 71) (далее – Положение о приемной комиссии). </w:t>
      </w:r>
    </w:p>
    <w:p w:rsidR="00CF4C9F" w:rsidRDefault="00CF4C9F" w:rsidP="00CF4C9F">
      <w:pPr>
        <w:pStyle w:val="newncpi"/>
        <w:ind w:firstLine="54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Установлен единый режим работы приемных комиссий УПТО: с 9-00 до 18-00, включая субботы (18 июня, 25 июня, 2 июля, 9 июля, 16 июля, 23 июля, 30 июля, 6 августа, 13 августа, 20 августа).</w:t>
      </w:r>
    </w:p>
    <w:p w:rsidR="00CF4C9F" w:rsidRDefault="00CF4C9F" w:rsidP="00CF4C9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Напоминаем, что </w:t>
      </w:r>
      <w:r>
        <w:rPr>
          <w:sz w:val="30"/>
          <w:szCs w:val="30"/>
        </w:rPr>
        <w:t xml:space="preserve">приемная комиссия информирует поступающих о ходе приема документов на интернет-ресурсе, бумажном носителе, а </w:t>
      </w:r>
      <w:r>
        <w:rPr>
          <w:sz w:val="30"/>
          <w:szCs w:val="30"/>
        </w:rPr>
        <w:lastRenderedPageBreak/>
        <w:t>при наличии возможности и на электронном терминале. Информация обновляется ежедневно.</w:t>
      </w:r>
    </w:p>
    <w:p w:rsidR="00CF4C9F" w:rsidRDefault="00CF4C9F" w:rsidP="00CF4C9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обеспечения выполнения предписаний Закона Республики Беларусь от 7 мая 2021 г. № 99-З «О защите персональных данных» с целью получения согласия поступающих на обработку, хранение и использование их персональных данных для зачисления (участия в конкурсе) для получения профессионально-технического образования в приложении 1 (форма заявления) к Положению о приемной комиссии необходимо после предложения «С правилами приема ознакомлен(а).» дополнить предложением «Даю согласие на обработку персональных данных для зачисления (участия в конкурсе) для получения профессионально-технического образования (запись вносится лицами, достигшими возраста шестнадцати лет)».</w:t>
      </w:r>
    </w:p>
    <w:p w:rsidR="00CF4C9F" w:rsidRDefault="00CF4C9F" w:rsidP="00CF4C9F">
      <w:pPr>
        <w:ind w:right="-95" w:firstLine="540"/>
        <w:jc w:val="both"/>
        <w:rPr>
          <w:sz w:val="30"/>
          <w:szCs w:val="30"/>
        </w:rPr>
      </w:pPr>
      <w:r>
        <w:rPr>
          <w:sz w:val="30"/>
          <w:szCs w:val="30"/>
        </w:rPr>
        <w:t>Информируем, в целях методического сопровождения приемной кампании приняты следующие меры:</w:t>
      </w:r>
    </w:p>
    <w:p w:rsidR="00CF4C9F" w:rsidRDefault="00CF4C9F" w:rsidP="00CF4C9F">
      <w:pPr>
        <w:ind w:right="-95" w:firstLine="54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для свободного доступа поступающих и других заинтересованных в электронном виде на сайте Министерства образования размещен Сборник для поступающих в учреждения образования, реализующие образовательные программы профессионально-технического образования, в 2022 году (далее – Сборник), составленный учреждением образования «Республиканский институт профессионального образования» совместно с Министерством образования;</w:t>
      </w:r>
    </w:p>
    <w:p w:rsidR="00CF4C9F" w:rsidRDefault="00CF4C9F" w:rsidP="00CF4C9F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обновлен Сборник основных нормативных правовых актов и информационных материалов, регулирующих вопросы приема в учреждения образования, реализующие образовательные программы профессионально-технического образования, в 2022 году и размещен на сайте Министерства образования;</w:t>
      </w:r>
    </w:p>
    <w:p w:rsidR="00CF4C9F" w:rsidRDefault="00CF4C9F" w:rsidP="00CF4C9F">
      <w:pPr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ab/>
        <w:t xml:space="preserve">с 1 июня 2022 г. в Министерстве образования организована работа «горячей линии» (телефон – 8 (017) </w:t>
      </w:r>
      <w:r>
        <w:rPr>
          <w:rFonts w:eastAsia="Calibri"/>
          <w:sz w:val="30"/>
          <w:szCs w:val="30"/>
        </w:rPr>
        <w:t>222-43-12</w:t>
      </w:r>
      <w:r>
        <w:rPr>
          <w:rFonts w:eastAsia="Arial Unicode MS"/>
          <w:sz w:val="30"/>
          <w:szCs w:val="30"/>
        </w:rPr>
        <w:t xml:space="preserve">). </w:t>
      </w:r>
    </w:p>
    <w:p w:rsidR="00CF4C9F" w:rsidRDefault="00CF4C9F" w:rsidP="00CF4C9F">
      <w:pPr>
        <w:jc w:val="both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ab/>
      </w:r>
      <w:r>
        <w:rPr>
          <w:sz w:val="30"/>
          <w:szCs w:val="30"/>
        </w:rPr>
        <w:t xml:space="preserve">Напоминаем о своевременном предоставлении сведений о ходе комплектования УПТО в соответствии с письмом учреждения «Главный информационно-аналитический центр Министерства образования Республики Беларусь» от 01.04.2022 № 408 «О предоставлении статистической информации». </w:t>
      </w:r>
    </w:p>
    <w:p w:rsidR="00F41A2A" w:rsidRDefault="00F41A2A">
      <w:bookmarkStart w:id="0" w:name="_GoBack"/>
      <w:bookmarkEnd w:id="0"/>
    </w:p>
    <w:sectPr w:rsidR="00F4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F"/>
    <w:rsid w:val="00CF4C9F"/>
    <w:rsid w:val="00F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4C9F"/>
    <w:pPr>
      <w:spacing w:line="240" w:lineRule="exact"/>
      <w:ind w:left="4500"/>
    </w:pPr>
    <w:rPr>
      <w:rFonts w:ascii="Times New Roman CYR" w:hAnsi="Times New Roman CYR" w:cs="Times New Roman CYR"/>
      <w:bCs/>
      <w:color w:val="000000"/>
      <w:spacing w:val="-16"/>
      <w:sz w:val="3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F4C9F"/>
    <w:rPr>
      <w:rFonts w:ascii="Times New Roman CYR" w:eastAsia="Times New Roman" w:hAnsi="Times New Roman CYR" w:cs="Times New Roman CYR"/>
      <w:bCs/>
      <w:color w:val="000000"/>
      <w:spacing w:val="-16"/>
      <w:sz w:val="30"/>
      <w:szCs w:val="28"/>
      <w:lang w:eastAsia="ru-RU"/>
    </w:rPr>
  </w:style>
  <w:style w:type="paragraph" w:customStyle="1" w:styleId="ConsPlusNonformat">
    <w:name w:val="ConsPlusNonformat"/>
    <w:rsid w:val="00CF4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CF4C9F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F4C9F"/>
    <w:pPr>
      <w:spacing w:line="240" w:lineRule="exact"/>
      <w:ind w:left="4500"/>
    </w:pPr>
    <w:rPr>
      <w:rFonts w:ascii="Times New Roman CYR" w:hAnsi="Times New Roman CYR" w:cs="Times New Roman CYR"/>
      <w:bCs/>
      <w:color w:val="000000"/>
      <w:spacing w:val="-16"/>
      <w:sz w:val="3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F4C9F"/>
    <w:rPr>
      <w:rFonts w:ascii="Times New Roman CYR" w:eastAsia="Times New Roman" w:hAnsi="Times New Roman CYR" w:cs="Times New Roman CYR"/>
      <w:bCs/>
      <w:color w:val="000000"/>
      <w:spacing w:val="-16"/>
      <w:sz w:val="30"/>
      <w:szCs w:val="28"/>
      <w:lang w:eastAsia="ru-RU"/>
    </w:rPr>
  </w:style>
  <w:style w:type="paragraph" w:customStyle="1" w:styleId="ConsPlusNonformat">
    <w:name w:val="ConsPlusNonformat"/>
    <w:rsid w:val="00CF4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rsid w:val="00CF4C9F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2022-06-08T06:34:00Z</dcterms:created>
  <dcterms:modified xsi:type="dcterms:W3CDTF">2022-06-08T06:34:00Z</dcterms:modified>
</cp:coreProperties>
</file>