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48" w:rsidRDefault="00157C48" w:rsidP="00157C48">
      <w:pPr>
        <w:jc w:val="center"/>
        <w:rPr>
          <w:b/>
          <w:sz w:val="28"/>
          <w:szCs w:val="28"/>
        </w:rPr>
      </w:pPr>
      <w:r>
        <w:rPr>
          <w:b/>
          <w:sz w:val="28"/>
          <w:szCs w:val="28"/>
        </w:rPr>
        <w:t xml:space="preserve">УРОВНИ СФОРМИРОВАННОСТИ ИГРОВЫХ НАВЫКОВ </w:t>
      </w:r>
    </w:p>
    <w:p w:rsidR="00157C48" w:rsidRDefault="00157C48" w:rsidP="00157C48">
      <w:pPr>
        <w:spacing w:after="120"/>
        <w:jc w:val="center"/>
        <w:rPr>
          <w:b/>
          <w:i/>
          <w:sz w:val="28"/>
          <w:szCs w:val="28"/>
        </w:rPr>
      </w:pPr>
      <w:r>
        <w:rPr>
          <w:b/>
          <w:sz w:val="28"/>
          <w:szCs w:val="28"/>
        </w:rPr>
        <w:t xml:space="preserve">у воспитанников </w:t>
      </w:r>
    </w:p>
    <w:tbl>
      <w:tblPr>
        <w:tblW w:w="1045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1931"/>
        <w:gridCol w:w="1931"/>
        <w:gridCol w:w="2275"/>
        <w:gridCol w:w="1844"/>
      </w:tblGrid>
      <w:tr w:rsidR="00157C48" w:rsidTr="0018572D">
        <w:tc>
          <w:tcPr>
            <w:tcW w:w="2475" w:type="dxa"/>
            <w:tcBorders>
              <w:top w:val="single" w:sz="4" w:space="0" w:color="000000"/>
              <w:left w:val="single" w:sz="4" w:space="0" w:color="000000"/>
              <w:bottom w:val="single" w:sz="4" w:space="0" w:color="000000"/>
              <w:right w:val="single" w:sz="4" w:space="0" w:color="000000"/>
            </w:tcBorders>
          </w:tcPr>
          <w:p w:rsidR="00157C48" w:rsidRDefault="00157C48" w:rsidP="0018572D">
            <w:pPr>
              <w:spacing w:line="276" w:lineRule="auto"/>
              <w:rPr>
                <w:sz w:val="26"/>
                <w:szCs w:val="26"/>
              </w:rPr>
            </w:pPr>
          </w:p>
        </w:tc>
        <w:tc>
          <w:tcPr>
            <w:tcW w:w="1931" w:type="dxa"/>
            <w:tcBorders>
              <w:top w:val="single" w:sz="4" w:space="0" w:color="000000"/>
              <w:left w:val="single" w:sz="4" w:space="0" w:color="000000"/>
              <w:bottom w:val="single" w:sz="4" w:space="0" w:color="000000"/>
              <w:right w:val="single" w:sz="4" w:space="0" w:color="000000"/>
            </w:tcBorders>
          </w:tcPr>
          <w:p w:rsidR="00157C48" w:rsidRDefault="00157C48" w:rsidP="0018572D">
            <w:pPr>
              <w:spacing w:line="276" w:lineRule="auto"/>
              <w:rPr>
                <w:sz w:val="26"/>
                <w:szCs w:val="26"/>
              </w:rPr>
            </w:pPr>
            <w:r>
              <w:rPr>
                <w:color w:val="000000"/>
                <w:sz w:val="26"/>
                <w:szCs w:val="26"/>
              </w:rPr>
              <w:t>1-й уровень низкий</w:t>
            </w:r>
          </w:p>
        </w:tc>
        <w:tc>
          <w:tcPr>
            <w:tcW w:w="1931" w:type="dxa"/>
            <w:tcBorders>
              <w:top w:val="single" w:sz="4" w:space="0" w:color="000000"/>
              <w:left w:val="single" w:sz="4" w:space="0" w:color="000000"/>
              <w:bottom w:val="single" w:sz="4" w:space="0" w:color="000000"/>
              <w:right w:val="single" w:sz="4" w:space="0" w:color="000000"/>
            </w:tcBorders>
          </w:tcPr>
          <w:p w:rsidR="00157C48" w:rsidRDefault="00157C48" w:rsidP="0018572D">
            <w:pPr>
              <w:spacing w:line="276" w:lineRule="auto"/>
              <w:rPr>
                <w:sz w:val="26"/>
                <w:szCs w:val="26"/>
              </w:rPr>
            </w:pPr>
            <w:r>
              <w:rPr>
                <w:color w:val="000000"/>
                <w:sz w:val="26"/>
                <w:szCs w:val="26"/>
              </w:rPr>
              <w:t>2-й уровень средний</w:t>
            </w:r>
          </w:p>
        </w:tc>
        <w:tc>
          <w:tcPr>
            <w:tcW w:w="2275" w:type="dxa"/>
            <w:tcBorders>
              <w:top w:val="single" w:sz="4" w:space="0" w:color="000000"/>
              <w:left w:val="single" w:sz="4" w:space="0" w:color="000000"/>
              <w:bottom w:val="single" w:sz="4" w:space="0" w:color="000000"/>
              <w:right w:val="single" w:sz="4" w:space="0" w:color="000000"/>
            </w:tcBorders>
          </w:tcPr>
          <w:p w:rsidR="00157C48" w:rsidRDefault="00157C48" w:rsidP="0018572D">
            <w:pPr>
              <w:spacing w:line="276" w:lineRule="auto"/>
              <w:rPr>
                <w:sz w:val="26"/>
                <w:szCs w:val="26"/>
              </w:rPr>
            </w:pPr>
            <w:r>
              <w:rPr>
                <w:color w:val="000000"/>
                <w:sz w:val="26"/>
                <w:szCs w:val="26"/>
              </w:rPr>
              <w:t>3-й уровень достаточный</w:t>
            </w:r>
          </w:p>
        </w:tc>
        <w:tc>
          <w:tcPr>
            <w:tcW w:w="1844" w:type="dxa"/>
            <w:tcBorders>
              <w:top w:val="single" w:sz="4" w:space="0" w:color="000000"/>
              <w:left w:val="single" w:sz="4" w:space="0" w:color="000000"/>
              <w:bottom w:val="single" w:sz="4" w:space="0" w:color="000000"/>
              <w:right w:val="single" w:sz="4" w:space="0" w:color="000000"/>
            </w:tcBorders>
            <w:vAlign w:val="bottom"/>
          </w:tcPr>
          <w:p w:rsidR="00157C48" w:rsidRDefault="00157C48" w:rsidP="0018572D">
            <w:pPr>
              <w:spacing w:line="276" w:lineRule="auto"/>
              <w:rPr>
                <w:color w:val="000000"/>
                <w:sz w:val="26"/>
                <w:szCs w:val="26"/>
              </w:rPr>
            </w:pPr>
            <w:r>
              <w:rPr>
                <w:color w:val="000000"/>
                <w:sz w:val="26"/>
                <w:szCs w:val="26"/>
              </w:rPr>
              <w:t>4-й уровень высокий</w:t>
            </w:r>
          </w:p>
        </w:tc>
      </w:tr>
      <w:tr w:rsidR="00157C48" w:rsidTr="0018572D">
        <w:trPr>
          <w:trHeight w:val="600"/>
        </w:trPr>
        <w:tc>
          <w:tcPr>
            <w:tcW w:w="2475" w:type="dxa"/>
            <w:tcBorders>
              <w:top w:val="single" w:sz="4" w:space="0" w:color="000000"/>
              <w:left w:val="single" w:sz="4" w:space="0" w:color="000000"/>
              <w:bottom w:val="single" w:sz="4" w:space="0" w:color="000000"/>
              <w:right w:val="single" w:sz="4" w:space="0" w:color="000000"/>
            </w:tcBorders>
          </w:tcPr>
          <w:p w:rsidR="00157C48" w:rsidRDefault="00157C48" w:rsidP="0018572D">
            <w:pPr>
              <w:pBdr>
                <w:top w:val="nil"/>
                <w:left w:val="nil"/>
                <w:bottom w:val="nil"/>
                <w:right w:val="nil"/>
                <w:between w:val="nil"/>
              </w:pBdr>
              <w:rPr>
                <w:color w:val="000000"/>
                <w:sz w:val="26"/>
                <w:szCs w:val="26"/>
              </w:rPr>
            </w:pPr>
            <w:r>
              <w:rPr>
                <w:color w:val="000000"/>
                <w:sz w:val="26"/>
                <w:szCs w:val="26"/>
              </w:rPr>
              <w:t>Начальная диагностика</w:t>
            </w:r>
          </w:p>
        </w:tc>
        <w:tc>
          <w:tcPr>
            <w:tcW w:w="1931" w:type="dxa"/>
            <w:tcBorders>
              <w:top w:val="single" w:sz="4" w:space="0" w:color="000000"/>
              <w:left w:val="single" w:sz="4" w:space="0" w:color="000000"/>
              <w:bottom w:val="single" w:sz="4" w:space="0" w:color="000000"/>
              <w:right w:val="single" w:sz="4" w:space="0" w:color="000000"/>
            </w:tcBorders>
          </w:tcPr>
          <w:p w:rsidR="00157C48" w:rsidRDefault="00157C48" w:rsidP="0018572D">
            <w:pPr>
              <w:spacing w:line="276" w:lineRule="auto"/>
              <w:rPr>
                <w:sz w:val="26"/>
                <w:szCs w:val="26"/>
              </w:rPr>
            </w:pPr>
            <w:r>
              <w:rPr>
                <w:color w:val="000000"/>
                <w:sz w:val="26"/>
                <w:szCs w:val="26"/>
              </w:rPr>
              <w:t>55воспитанников (76.4%)</w:t>
            </w:r>
          </w:p>
        </w:tc>
        <w:tc>
          <w:tcPr>
            <w:tcW w:w="1931" w:type="dxa"/>
            <w:tcBorders>
              <w:top w:val="single" w:sz="4" w:space="0" w:color="000000"/>
              <w:left w:val="single" w:sz="4" w:space="0" w:color="000000"/>
              <w:bottom w:val="single" w:sz="4" w:space="0" w:color="000000"/>
              <w:right w:val="single" w:sz="4" w:space="0" w:color="000000"/>
            </w:tcBorders>
          </w:tcPr>
          <w:p w:rsidR="00157C48" w:rsidRDefault="00157C48" w:rsidP="0018572D">
            <w:pPr>
              <w:spacing w:line="276" w:lineRule="auto"/>
              <w:rPr>
                <w:sz w:val="26"/>
                <w:szCs w:val="26"/>
              </w:rPr>
            </w:pPr>
            <w:r>
              <w:rPr>
                <w:color w:val="000000"/>
                <w:sz w:val="26"/>
                <w:szCs w:val="26"/>
              </w:rPr>
              <w:t>17воспитанников  (23.6%)</w:t>
            </w:r>
          </w:p>
        </w:tc>
        <w:tc>
          <w:tcPr>
            <w:tcW w:w="2275" w:type="dxa"/>
            <w:tcBorders>
              <w:top w:val="single" w:sz="4" w:space="0" w:color="000000"/>
              <w:left w:val="single" w:sz="4" w:space="0" w:color="000000"/>
              <w:bottom w:val="single" w:sz="4" w:space="0" w:color="000000"/>
              <w:right w:val="single" w:sz="4" w:space="0" w:color="000000"/>
            </w:tcBorders>
          </w:tcPr>
          <w:p w:rsidR="00157C48" w:rsidRDefault="00157C48" w:rsidP="0018572D">
            <w:pPr>
              <w:spacing w:line="276" w:lineRule="auto"/>
              <w:rPr>
                <w:sz w:val="26"/>
                <w:szCs w:val="26"/>
              </w:rPr>
            </w:pPr>
            <w:r>
              <w:rPr>
                <w:color w:val="000000"/>
                <w:sz w:val="26"/>
                <w:szCs w:val="26"/>
              </w:rPr>
              <w:t>0%</w:t>
            </w:r>
          </w:p>
        </w:tc>
        <w:tc>
          <w:tcPr>
            <w:tcW w:w="1844" w:type="dxa"/>
            <w:tcBorders>
              <w:top w:val="single" w:sz="4" w:space="0" w:color="000000"/>
              <w:left w:val="single" w:sz="4" w:space="0" w:color="000000"/>
              <w:bottom w:val="single" w:sz="4" w:space="0" w:color="000000"/>
              <w:right w:val="single" w:sz="4" w:space="0" w:color="000000"/>
            </w:tcBorders>
          </w:tcPr>
          <w:p w:rsidR="00157C48" w:rsidRDefault="00157C48" w:rsidP="0018572D">
            <w:pPr>
              <w:spacing w:line="276" w:lineRule="auto"/>
              <w:rPr>
                <w:sz w:val="26"/>
                <w:szCs w:val="26"/>
              </w:rPr>
            </w:pPr>
            <w:r>
              <w:rPr>
                <w:color w:val="000000"/>
                <w:sz w:val="26"/>
                <w:szCs w:val="26"/>
              </w:rPr>
              <w:t>0%</w:t>
            </w:r>
          </w:p>
        </w:tc>
      </w:tr>
    </w:tbl>
    <w:p w:rsidR="00157C48" w:rsidRDefault="00157C48" w:rsidP="00157C48">
      <w:pPr>
        <w:rPr>
          <w:rFonts w:ascii="Calibri" w:eastAsia="Calibri" w:hAnsi="Calibri" w:cs="Calibri"/>
          <w:sz w:val="22"/>
          <w:szCs w:val="22"/>
        </w:rPr>
      </w:pPr>
    </w:p>
    <w:p w:rsidR="00157C48" w:rsidRDefault="00157C48" w:rsidP="00157C48">
      <w:pPr>
        <w:rPr>
          <w:sz w:val="26"/>
          <w:szCs w:val="26"/>
        </w:rPr>
      </w:pPr>
      <w:r>
        <w:rPr>
          <w:sz w:val="26"/>
          <w:szCs w:val="26"/>
        </w:rPr>
        <w:t xml:space="preserve">Уровни развития сюжетно-ролевой игры по Д.Б. </w:t>
      </w:r>
      <w:proofErr w:type="spellStart"/>
      <w:r>
        <w:rPr>
          <w:sz w:val="26"/>
          <w:szCs w:val="26"/>
        </w:rPr>
        <w:t>Эльконину</w:t>
      </w:r>
      <w:proofErr w:type="spellEnd"/>
    </w:p>
    <w:tbl>
      <w:tblPr>
        <w:tblW w:w="10916" w:type="dxa"/>
        <w:tblInd w:w="-885" w:type="dxa"/>
        <w:tblLayout w:type="fixed"/>
        <w:tblLook w:val="0400" w:firstRow="0" w:lastRow="0" w:firstColumn="0" w:lastColumn="0" w:noHBand="0" w:noVBand="1"/>
      </w:tblPr>
      <w:tblGrid>
        <w:gridCol w:w="1589"/>
        <w:gridCol w:w="2000"/>
        <w:gridCol w:w="2839"/>
        <w:gridCol w:w="2333"/>
        <w:gridCol w:w="2155"/>
      </w:tblGrid>
      <w:tr w:rsidR="00157C48" w:rsidTr="0018572D">
        <w:tc>
          <w:tcPr>
            <w:tcW w:w="15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proofErr w:type="spellStart"/>
            <w:r>
              <w:rPr>
                <w:sz w:val="26"/>
                <w:szCs w:val="26"/>
              </w:rPr>
              <w:t>Показательигры</w:t>
            </w:r>
            <w:proofErr w:type="spellEnd"/>
          </w:p>
        </w:tc>
        <w:tc>
          <w:tcPr>
            <w:tcW w:w="20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1 уровень</w:t>
            </w:r>
          </w:p>
        </w:tc>
        <w:tc>
          <w:tcPr>
            <w:tcW w:w="28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45"/>
              <w:rPr>
                <w:sz w:val="26"/>
                <w:szCs w:val="26"/>
              </w:rPr>
            </w:pPr>
            <w:r>
              <w:rPr>
                <w:sz w:val="26"/>
                <w:szCs w:val="26"/>
              </w:rPr>
              <w:t>2 уровень</w:t>
            </w:r>
          </w:p>
        </w:tc>
        <w:tc>
          <w:tcPr>
            <w:tcW w:w="233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62"/>
              <w:rPr>
                <w:sz w:val="26"/>
                <w:szCs w:val="26"/>
              </w:rPr>
            </w:pPr>
            <w:r>
              <w:rPr>
                <w:sz w:val="26"/>
                <w:szCs w:val="26"/>
              </w:rPr>
              <w:t>3 уровень</w:t>
            </w:r>
          </w:p>
        </w:tc>
        <w:tc>
          <w:tcPr>
            <w:tcW w:w="215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4 уровень</w:t>
            </w:r>
          </w:p>
        </w:tc>
      </w:tr>
      <w:tr w:rsidR="00157C48" w:rsidTr="0018572D">
        <w:trPr>
          <w:trHeight w:val="3640"/>
        </w:trPr>
        <w:tc>
          <w:tcPr>
            <w:tcW w:w="15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proofErr w:type="spellStart"/>
            <w:r>
              <w:rPr>
                <w:sz w:val="26"/>
                <w:szCs w:val="26"/>
              </w:rPr>
              <w:t>Основноесодержаниеигры</w:t>
            </w:r>
            <w:proofErr w:type="spellEnd"/>
          </w:p>
        </w:tc>
        <w:tc>
          <w:tcPr>
            <w:tcW w:w="2000" w:type="dxa"/>
            <w:tcBorders>
              <w:top w:val="nil"/>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Действия с определенными предметами, направленные на соучастника игры.</w:t>
            </w:r>
          </w:p>
        </w:tc>
        <w:tc>
          <w:tcPr>
            <w:tcW w:w="2839" w:type="dxa"/>
            <w:tcBorders>
              <w:top w:val="nil"/>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 xml:space="preserve">В действиях с предметами на первый план выдвигается соответствие игрового действия </w:t>
            </w:r>
            <w:proofErr w:type="gramStart"/>
            <w:r>
              <w:rPr>
                <w:sz w:val="26"/>
                <w:szCs w:val="26"/>
              </w:rPr>
              <w:t>реальному</w:t>
            </w:r>
            <w:proofErr w:type="gramEnd"/>
            <w:r>
              <w:rPr>
                <w:sz w:val="26"/>
                <w:szCs w:val="26"/>
              </w:rPr>
              <w:t>.</w:t>
            </w:r>
          </w:p>
        </w:tc>
        <w:tc>
          <w:tcPr>
            <w:tcW w:w="2333" w:type="dxa"/>
            <w:tcBorders>
              <w:top w:val="nil"/>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hanging="14"/>
              <w:rPr>
                <w:sz w:val="26"/>
                <w:szCs w:val="26"/>
              </w:rPr>
            </w:pPr>
            <w:r>
              <w:rPr>
                <w:sz w:val="26"/>
                <w:szCs w:val="26"/>
              </w:rPr>
              <w:t>Выполнение роли и вытекающих из нее действий, среди которых начинают выделяться действия, передающие характер отношений с другими участниками игры.</w:t>
            </w:r>
          </w:p>
        </w:tc>
        <w:tc>
          <w:tcPr>
            <w:tcW w:w="2155" w:type="dxa"/>
            <w:tcBorders>
              <w:top w:val="nil"/>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Выполнение действий связанных отношением к другим людям.</w:t>
            </w:r>
          </w:p>
        </w:tc>
      </w:tr>
      <w:tr w:rsidR="00157C48" w:rsidTr="0018572D">
        <w:tc>
          <w:tcPr>
            <w:tcW w:w="1589"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57C48" w:rsidRDefault="00157C48" w:rsidP="0018572D">
            <w:pPr>
              <w:ind w:firstLine="34"/>
              <w:rPr>
                <w:sz w:val="26"/>
                <w:szCs w:val="26"/>
              </w:rPr>
            </w:pPr>
            <w:proofErr w:type="spellStart"/>
            <w:r>
              <w:rPr>
                <w:sz w:val="26"/>
                <w:szCs w:val="26"/>
              </w:rPr>
              <w:t>Характеригровойроли</w:t>
            </w:r>
            <w:proofErr w:type="spellEnd"/>
          </w:p>
        </w:tc>
        <w:tc>
          <w:tcPr>
            <w:tcW w:w="2000" w:type="dxa"/>
            <w:tcBorders>
              <w:top w:val="nil"/>
              <w:left w:val="nil"/>
              <w:bottom w:val="single" w:sz="4"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Роли есть фактически, но они не называются и определяются характером действий, а не определяют действие.</w:t>
            </w:r>
          </w:p>
        </w:tc>
        <w:tc>
          <w:tcPr>
            <w:tcW w:w="2839" w:type="dxa"/>
            <w:tcBorders>
              <w:top w:val="nil"/>
              <w:left w:val="nil"/>
              <w:bottom w:val="single" w:sz="4"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Роли называются, намечается разделение функций. Выполнение роли сводится к реализации действий, связанных с данной ролью.</w:t>
            </w:r>
          </w:p>
        </w:tc>
        <w:tc>
          <w:tcPr>
            <w:tcW w:w="2333" w:type="dxa"/>
            <w:tcBorders>
              <w:top w:val="nil"/>
              <w:left w:val="nil"/>
              <w:bottom w:val="single" w:sz="4"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 xml:space="preserve">Роли ясно очерчены и выделены, называются до начала игры. Появляется речь, обращенная к товарищу по игре, но иногда прорываются обычные </w:t>
            </w:r>
            <w:proofErr w:type="spellStart"/>
            <w:r>
              <w:rPr>
                <w:sz w:val="26"/>
                <w:szCs w:val="26"/>
              </w:rPr>
              <w:t>внеигровые</w:t>
            </w:r>
            <w:proofErr w:type="spellEnd"/>
            <w:r>
              <w:rPr>
                <w:sz w:val="26"/>
                <w:szCs w:val="26"/>
              </w:rPr>
              <w:t xml:space="preserve"> отношения.</w:t>
            </w:r>
          </w:p>
        </w:tc>
        <w:tc>
          <w:tcPr>
            <w:tcW w:w="2155" w:type="dxa"/>
            <w:tcBorders>
              <w:top w:val="nil"/>
              <w:left w:val="nil"/>
              <w:bottom w:val="single" w:sz="4"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Роли ясно выделены и очерчены, называются до начала игры. Ролевые функции детей взаимосвязаны. Речь носит ролевой характер.</w:t>
            </w:r>
          </w:p>
        </w:tc>
      </w:tr>
      <w:tr w:rsidR="00157C48" w:rsidTr="0018572D">
        <w:tc>
          <w:tcPr>
            <w:tcW w:w="1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7C48" w:rsidRDefault="00157C48" w:rsidP="0018572D">
            <w:pPr>
              <w:ind w:firstLine="0"/>
              <w:rPr>
                <w:sz w:val="26"/>
                <w:szCs w:val="26"/>
              </w:rPr>
            </w:pPr>
            <w:proofErr w:type="spellStart"/>
            <w:r>
              <w:rPr>
                <w:sz w:val="26"/>
                <w:szCs w:val="26"/>
              </w:rPr>
              <w:t>Характеригровыхдействий</w:t>
            </w:r>
            <w:proofErr w:type="spellEnd"/>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Действия однообразны и состоят из ряда повторяющихся операций.</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Логика действий  определяется жизненной последовательностью. Расширяется число действий и выходит за пределы какого-либо одного типа действий.</w:t>
            </w:r>
          </w:p>
        </w:tc>
        <w:tc>
          <w:tcPr>
            <w:tcW w:w="2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7C48" w:rsidRDefault="00157C48" w:rsidP="0018572D">
            <w:pPr>
              <w:ind w:hanging="14"/>
              <w:rPr>
                <w:sz w:val="26"/>
                <w:szCs w:val="26"/>
              </w:rPr>
            </w:pPr>
            <w:r>
              <w:rPr>
                <w:sz w:val="26"/>
                <w:szCs w:val="26"/>
              </w:rPr>
              <w:t>Логика и характер действий определяются ролью. Действия очень разнообразны.</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7C48" w:rsidRDefault="00157C48" w:rsidP="0018572D">
            <w:pPr>
              <w:ind w:hanging="79"/>
              <w:rPr>
                <w:sz w:val="26"/>
                <w:szCs w:val="26"/>
              </w:rPr>
            </w:pPr>
            <w:r>
              <w:rPr>
                <w:sz w:val="26"/>
                <w:szCs w:val="26"/>
              </w:rPr>
              <w:t xml:space="preserve">Действия четко, последовательно воссоздают реальную логику. Они очень разнообразны. Ясно выделены действия, </w:t>
            </w:r>
            <w:r>
              <w:rPr>
                <w:sz w:val="26"/>
                <w:szCs w:val="26"/>
              </w:rPr>
              <w:lastRenderedPageBreak/>
              <w:t>направленные к другим персонажам игры.</w:t>
            </w:r>
          </w:p>
        </w:tc>
      </w:tr>
      <w:tr w:rsidR="00157C48" w:rsidTr="0018572D">
        <w:tc>
          <w:tcPr>
            <w:tcW w:w="1589"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57C48" w:rsidRDefault="00157C48" w:rsidP="0018572D">
            <w:pPr>
              <w:ind w:firstLine="34"/>
              <w:rPr>
                <w:sz w:val="26"/>
                <w:szCs w:val="26"/>
              </w:rPr>
            </w:pPr>
            <w:r>
              <w:rPr>
                <w:sz w:val="26"/>
                <w:szCs w:val="26"/>
              </w:rPr>
              <w:lastRenderedPageBreak/>
              <w:t>Отношение к правилам</w:t>
            </w:r>
          </w:p>
        </w:tc>
        <w:tc>
          <w:tcPr>
            <w:tcW w:w="2000"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 xml:space="preserve">Логика действий легко нарушается без протестов со стороны детей. Правила отсутствуют. </w:t>
            </w:r>
          </w:p>
        </w:tc>
        <w:tc>
          <w:tcPr>
            <w:tcW w:w="2839"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Нарушение последовательности действий не принимается фактически, но не опротестовывается, неприятие ничем не мотивируется.</w:t>
            </w:r>
          </w:p>
        </w:tc>
        <w:tc>
          <w:tcPr>
            <w:tcW w:w="2333"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0"/>
              <w:rPr>
                <w:sz w:val="26"/>
                <w:szCs w:val="26"/>
              </w:rPr>
            </w:pPr>
            <w:r>
              <w:rPr>
                <w:sz w:val="26"/>
                <w:szCs w:val="26"/>
              </w:rPr>
              <w:t xml:space="preserve">Нарушение логики действий опротестовывается </w:t>
            </w:r>
            <w:proofErr w:type="gramStart"/>
            <w:r>
              <w:rPr>
                <w:sz w:val="26"/>
                <w:szCs w:val="26"/>
              </w:rPr>
              <w:t>с</w:t>
            </w:r>
            <w:proofErr w:type="gramEnd"/>
            <w:r>
              <w:rPr>
                <w:sz w:val="26"/>
                <w:szCs w:val="26"/>
              </w:rPr>
              <w:t xml:space="preserve"> ссылкой на то, «что так не бывает». Вычленяется правило поведения, которому дети подчиняют свои действия. Оно еще не полностью определяет поведение, но может победить возникшее непосредственное желание. Нарушение правила лучше замечается со стороны.</w:t>
            </w:r>
          </w:p>
        </w:tc>
        <w:tc>
          <w:tcPr>
            <w:tcW w:w="2155"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rsidR="00157C48" w:rsidRDefault="00157C48" w:rsidP="0018572D">
            <w:pPr>
              <w:ind w:firstLine="62"/>
              <w:rPr>
                <w:sz w:val="26"/>
                <w:szCs w:val="26"/>
              </w:rPr>
            </w:pPr>
            <w:r>
              <w:rPr>
                <w:sz w:val="26"/>
                <w:szCs w:val="26"/>
              </w:rPr>
              <w:t>Нарушение действий и правил отвергается не просто ссылкой на реальную действительность, но и указанием на рациональность правил. Правила явно вычленены. В борьбе между правилом и возникшим непосредственным желанием, побеждает правило.</w:t>
            </w:r>
          </w:p>
        </w:tc>
      </w:tr>
    </w:tbl>
    <w:p w:rsidR="00157C48" w:rsidRDefault="00157C48" w:rsidP="00157C48">
      <w:pPr>
        <w:rPr>
          <w:rFonts w:ascii="Calibri" w:eastAsia="Calibri" w:hAnsi="Calibri" w:cs="Calibri"/>
          <w:sz w:val="22"/>
          <w:szCs w:val="22"/>
        </w:rPr>
      </w:pPr>
    </w:p>
    <w:p w:rsidR="00E70E12" w:rsidRDefault="00E70E12">
      <w:bookmarkStart w:id="0" w:name="_GoBack"/>
      <w:bookmarkEnd w:id="0"/>
    </w:p>
    <w:sectPr w:rsidR="00E70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48"/>
    <w:rsid w:val="00157C48"/>
    <w:rsid w:val="00E7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7C48"/>
    <w:rPr>
      <w:rFonts w:eastAsia="Times New Roman" w:cs="Times New Roman"/>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7C48"/>
    <w:rPr>
      <w:rFonts w:eastAsia="Times New Roman" w:cs="Times New Roman"/>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2018-12-28T06:06:00Z</dcterms:created>
  <dcterms:modified xsi:type="dcterms:W3CDTF">2018-12-28T06:06:00Z</dcterms:modified>
</cp:coreProperties>
</file>