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27" w:rsidRPr="008E1441" w:rsidRDefault="00D67E27" w:rsidP="00EA5DA0">
      <w:pPr>
        <w:spacing w:after="0" w:line="240" w:lineRule="auto"/>
        <w:contextualSpacing/>
        <w:jc w:val="both"/>
        <w:rPr>
          <w:rFonts w:ascii="Times New Roman" w:hAnsi="Times New Roman" w:cs="Times New Roman"/>
          <w:b/>
          <w:sz w:val="30"/>
          <w:szCs w:val="30"/>
          <w:u w:val="single"/>
        </w:rPr>
      </w:pPr>
      <w:r w:rsidRPr="008E1441">
        <w:rPr>
          <w:rFonts w:ascii="Times New Roman" w:hAnsi="Times New Roman" w:cs="Times New Roman"/>
          <w:b/>
          <w:sz w:val="30"/>
          <w:szCs w:val="30"/>
          <w:u w:val="single"/>
        </w:rPr>
        <w:t>Торговля людьми</w:t>
      </w:r>
    </w:p>
    <w:p w:rsidR="00D67E27" w:rsidRPr="00D67E27" w:rsidRDefault="00D67E27" w:rsidP="00EA5DA0">
      <w:pPr>
        <w:spacing w:after="0" w:line="240" w:lineRule="auto"/>
        <w:contextualSpacing/>
        <w:jc w:val="both"/>
        <w:rPr>
          <w:rFonts w:ascii="Times New Roman" w:hAnsi="Times New Roman" w:cs="Times New Roman"/>
          <w:sz w:val="30"/>
          <w:szCs w:val="30"/>
        </w:rPr>
      </w:pP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Торговля людьми является одним из наиболее опасных глобальных вызовов современности и считается грубейшим нарушением основополагающих прав человека. По разным оценкам, ежегодно жертвами этого преступления становятся сотни тысяч людей.</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Республика Беларусь первая на постсоветском пространстве развернула широкомасштабную кампанию борьбы с торговлей людьми.</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За короткое время в Беларуси с учетом передового международного опыта разработано национальное законодательство, направленное на ликвидацию торговли людьми, в рамках государственных программ по противодействию торговле людьми и нелегальной миграции реализован </w:t>
      </w:r>
      <w:proofErr w:type="spellStart"/>
      <w:r w:rsidRPr="00D67E27">
        <w:rPr>
          <w:rFonts w:ascii="Times New Roman" w:hAnsi="Times New Roman" w:cs="Times New Roman"/>
          <w:sz w:val="30"/>
          <w:szCs w:val="30"/>
        </w:rPr>
        <w:t>широкомаштабный</w:t>
      </w:r>
      <w:proofErr w:type="spellEnd"/>
      <w:r w:rsidRPr="00D67E27">
        <w:rPr>
          <w:rFonts w:ascii="Times New Roman" w:hAnsi="Times New Roman" w:cs="Times New Roman"/>
          <w:sz w:val="30"/>
          <w:szCs w:val="30"/>
        </w:rPr>
        <w:t xml:space="preserve"> комплекс мер по повышению эффективности противодействия угрозе </w:t>
      </w:r>
      <w:proofErr w:type="spellStart"/>
      <w:r w:rsidRPr="00D67E27">
        <w:rPr>
          <w:rFonts w:ascii="Times New Roman" w:hAnsi="Times New Roman" w:cs="Times New Roman"/>
          <w:sz w:val="30"/>
          <w:szCs w:val="30"/>
        </w:rPr>
        <w:t>трафикинга</w:t>
      </w:r>
      <w:proofErr w:type="spellEnd"/>
      <w:r w:rsidRPr="00D67E27">
        <w:rPr>
          <w:rFonts w:ascii="Times New Roman" w:hAnsi="Times New Roman" w:cs="Times New Roman"/>
          <w:sz w:val="30"/>
          <w:szCs w:val="30"/>
        </w:rPr>
        <w:t xml:space="preserve"> и обеспечение безопасности населения страны.</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Национальные меры по пресечению </w:t>
      </w:r>
      <w:proofErr w:type="spellStart"/>
      <w:r w:rsidRPr="00D67E27">
        <w:rPr>
          <w:rFonts w:ascii="Times New Roman" w:hAnsi="Times New Roman" w:cs="Times New Roman"/>
          <w:sz w:val="30"/>
          <w:szCs w:val="30"/>
        </w:rPr>
        <w:t>трафикинга</w:t>
      </w:r>
      <w:proofErr w:type="spellEnd"/>
      <w:r w:rsidRPr="00D67E27">
        <w:rPr>
          <w:rFonts w:ascii="Times New Roman" w:hAnsi="Times New Roman" w:cs="Times New Roman"/>
          <w:sz w:val="30"/>
          <w:szCs w:val="30"/>
        </w:rPr>
        <w:t xml:space="preserve"> способствовали тому, что борьба с торговлей людьми стала одним из приоритетных направлений деятельности Беларуси на международной арене.</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В 2005 году на Саммите тысячелетия ООН Президент Республики Беларусь А.Г.Лукашенко выдвинул инициативу об активизации международных усилий по борьбе с одной из самых острых проблем современности – торговлей людьми.</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Активность Беларуси в данной сфере, подкрепленная рядом действенных мер на национальном уровне, позволила нашей стране завоевать на международной арене репутацию признанного лидера борьбы с </w:t>
      </w:r>
      <w:proofErr w:type="spellStart"/>
      <w:r w:rsidRPr="00D67E27">
        <w:rPr>
          <w:rFonts w:ascii="Times New Roman" w:hAnsi="Times New Roman" w:cs="Times New Roman"/>
          <w:sz w:val="30"/>
          <w:szCs w:val="30"/>
        </w:rPr>
        <w:t>трафикингом</w:t>
      </w:r>
      <w:proofErr w:type="spellEnd"/>
      <w:r w:rsidRPr="00D67E27">
        <w:rPr>
          <w:rFonts w:ascii="Times New Roman" w:hAnsi="Times New Roman" w:cs="Times New Roman"/>
          <w:sz w:val="30"/>
          <w:szCs w:val="30"/>
        </w:rPr>
        <w:t>.</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На 61-й, 63-й и 64-й сессиях Генеральной Ассамбл</w:t>
      </w:r>
      <w:proofErr w:type="gramStart"/>
      <w:r w:rsidRPr="00D67E27">
        <w:rPr>
          <w:rFonts w:ascii="Times New Roman" w:hAnsi="Times New Roman" w:cs="Times New Roman"/>
          <w:sz w:val="30"/>
          <w:szCs w:val="30"/>
        </w:rPr>
        <w:t>еи ОО</w:t>
      </w:r>
      <w:proofErr w:type="gramEnd"/>
      <w:r w:rsidRPr="00D67E27">
        <w:rPr>
          <w:rFonts w:ascii="Times New Roman" w:hAnsi="Times New Roman" w:cs="Times New Roman"/>
          <w:sz w:val="30"/>
          <w:szCs w:val="30"/>
        </w:rPr>
        <w:t>Н по инициативе Беларуси были приняты три комплексных резолюции по борьбе с торговлей людьми.</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Последовательная позиция белорусских делегаций способствовала закреплению тезиса о необходимости скоординированных усилий борьбы мирового сообщества в борьбе с </w:t>
      </w:r>
      <w:proofErr w:type="spellStart"/>
      <w:r w:rsidRPr="00D67E27">
        <w:rPr>
          <w:rFonts w:ascii="Times New Roman" w:hAnsi="Times New Roman" w:cs="Times New Roman"/>
          <w:sz w:val="30"/>
          <w:szCs w:val="30"/>
        </w:rPr>
        <w:t>трафикингом</w:t>
      </w:r>
      <w:proofErr w:type="spellEnd"/>
      <w:r w:rsidRPr="00D67E27">
        <w:rPr>
          <w:rFonts w:ascii="Times New Roman" w:hAnsi="Times New Roman" w:cs="Times New Roman"/>
          <w:sz w:val="30"/>
          <w:szCs w:val="30"/>
        </w:rPr>
        <w:t xml:space="preserve"> в решениях Экономического и Социального Совета ООН и Совета ООН по правам человека.</w:t>
      </w:r>
      <w:r w:rsidRPr="00D67E27">
        <w:rPr>
          <w:rFonts w:ascii="Times New Roman" w:hAnsi="Times New Roman" w:cs="Times New Roman"/>
          <w:sz w:val="30"/>
          <w:szCs w:val="30"/>
        </w:rPr>
        <w:cr/>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lastRenderedPageBreak/>
        <w:t>В 2006 году по инициативе Беларуси создана Межучережденческая группа по координации борьбы с торговлей людьми. Беларусь стала первой страной, которая внесла добровольный взнос на обеспечение деятельности этого международного механизма.</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proofErr w:type="gramStart"/>
      <w:r w:rsidRPr="00D67E27">
        <w:rPr>
          <w:rFonts w:ascii="Times New Roman" w:hAnsi="Times New Roman" w:cs="Times New Roman"/>
          <w:sz w:val="30"/>
          <w:szCs w:val="30"/>
        </w:rPr>
        <w:t xml:space="preserve">В </w:t>
      </w:r>
      <w:proofErr w:type="spellStart"/>
      <w:r w:rsidRPr="00D67E27">
        <w:rPr>
          <w:rFonts w:ascii="Times New Roman" w:hAnsi="Times New Roman" w:cs="Times New Roman"/>
          <w:sz w:val="30"/>
          <w:szCs w:val="30"/>
        </w:rPr>
        <w:t>Межучрежденческой</w:t>
      </w:r>
      <w:proofErr w:type="spellEnd"/>
      <w:r w:rsidRPr="00D67E27">
        <w:rPr>
          <w:rFonts w:ascii="Times New Roman" w:hAnsi="Times New Roman" w:cs="Times New Roman"/>
          <w:sz w:val="30"/>
          <w:szCs w:val="30"/>
        </w:rPr>
        <w:t xml:space="preserve"> группе участвуют 17 международных специализированных агентств, включая Управление Верховного комиссара ООН по делам беженцев, Управление Верховного комиссара ООН по правам человека, Международную организацию по миграции, Международную организацию труда, Фонд ООН для развития в интересах женщин, Детский фонд ООН ЮНИСЕФ и др. Координирует ее деятельность Управление ООН по наркотикам и преступности. </w:t>
      </w:r>
      <w:proofErr w:type="gramEnd"/>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Беларусь выступила организатором ряда международных мероприятий, нацеленных на формирование эффективного глобального партнерства против рабства и торговли людьми в XXI веке, в том числе состоявшейся в марте 2007 года в штаб-квартире ООН конференции по торговле женщинами и детьми с участием более 90 государств и 20 международных организаций.</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В 2006-2010 гг. в г</w:t>
      </w:r>
      <w:proofErr w:type="gramStart"/>
      <w:r w:rsidRPr="00D67E27">
        <w:rPr>
          <w:rFonts w:ascii="Times New Roman" w:hAnsi="Times New Roman" w:cs="Times New Roman"/>
          <w:sz w:val="30"/>
          <w:szCs w:val="30"/>
        </w:rPr>
        <w:t>.М</w:t>
      </w:r>
      <w:proofErr w:type="gramEnd"/>
      <w:r w:rsidRPr="00D67E27">
        <w:rPr>
          <w:rFonts w:ascii="Times New Roman" w:hAnsi="Times New Roman" w:cs="Times New Roman"/>
          <w:sz w:val="30"/>
          <w:szCs w:val="30"/>
        </w:rPr>
        <w:t xml:space="preserve">инске проведено четыре международных конференции высокого уровня, посвященных вопросам эффективного взаимодействия государств, международных и неправительственных организаций в сфере борьбы с торговлей людьми и защиты жертв </w:t>
      </w:r>
      <w:proofErr w:type="spellStart"/>
      <w:r w:rsidRPr="00D67E27">
        <w:rPr>
          <w:rFonts w:ascii="Times New Roman" w:hAnsi="Times New Roman" w:cs="Times New Roman"/>
          <w:sz w:val="30"/>
          <w:szCs w:val="30"/>
        </w:rPr>
        <w:t>трафикинга</w:t>
      </w:r>
      <w:proofErr w:type="spellEnd"/>
      <w:r w:rsidRPr="00D67E27">
        <w:rPr>
          <w:rFonts w:ascii="Times New Roman" w:hAnsi="Times New Roman" w:cs="Times New Roman"/>
          <w:sz w:val="30"/>
          <w:szCs w:val="30"/>
        </w:rPr>
        <w:t>.</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В этих форумах приняли участие представители более 30 государств и 10 международных организаций, в том числе Генеральный директор МОМ, Специальный представитель ОБСЕ по вопросам торговли людьми и др. </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В целях распространения передового опыта в сфере борьбы с торговлей людьми в 2007 г. в г</w:t>
      </w:r>
      <w:proofErr w:type="gramStart"/>
      <w:r w:rsidRPr="00D67E27">
        <w:rPr>
          <w:rFonts w:ascii="Times New Roman" w:hAnsi="Times New Roman" w:cs="Times New Roman"/>
          <w:sz w:val="30"/>
          <w:szCs w:val="30"/>
        </w:rPr>
        <w:t>.М</w:t>
      </w:r>
      <w:proofErr w:type="gramEnd"/>
      <w:r w:rsidRPr="00D67E27">
        <w:rPr>
          <w:rFonts w:ascii="Times New Roman" w:hAnsi="Times New Roman" w:cs="Times New Roman"/>
          <w:sz w:val="30"/>
          <w:szCs w:val="30"/>
        </w:rPr>
        <w:t xml:space="preserve">инске открыт Международный учебный центр подготовки, повышения квалификации, переподготовки кадров в сфере миграции и противодействия торговле людьми (МУЦ), получивший в 2008 г. статус базового учебного учреждения стран СНГ. Для преподавания в МУЦ привлекаются ведущие международные эксперты в сфере торговли людьми. На базе Центра проходят обучение представители правоохранительных органов государств–участников СНГ, развивается сотрудничество с государствами Персидского залива. </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lastRenderedPageBreak/>
        <w:t>В 2008 и 2009 годах Беларусь выступила инициатором тематических дебатов Генеральной Ассамбл</w:t>
      </w:r>
      <w:proofErr w:type="gramStart"/>
      <w:r w:rsidRPr="00D67E27">
        <w:rPr>
          <w:rFonts w:ascii="Times New Roman" w:hAnsi="Times New Roman" w:cs="Times New Roman"/>
          <w:sz w:val="30"/>
          <w:szCs w:val="30"/>
        </w:rPr>
        <w:t>еи ОО</w:t>
      </w:r>
      <w:proofErr w:type="gramEnd"/>
      <w:r w:rsidRPr="00D67E27">
        <w:rPr>
          <w:rFonts w:ascii="Times New Roman" w:hAnsi="Times New Roman" w:cs="Times New Roman"/>
          <w:sz w:val="30"/>
          <w:szCs w:val="30"/>
        </w:rPr>
        <w:t xml:space="preserve">Н, нацеленных на формирование эффективного международного режима по борьбе с торговлей людьми и разработку Глобального плана действий ООН по борьбе с </w:t>
      </w:r>
      <w:proofErr w:type="spellStart"/>
      <w:r w:rsidRPr="00D67E27">
        <w:rPr>
          <w:rFonts w:ascii="Times New Roman" w:hAnsi="Times New Roman" w:cs="Times New Roman"/>
          <w:sz w:val="30"/>
          <w:szCs w:val="30"/>
        </w:rPr>
        <w:t>трафикингом</w:t>
      </w:r>
      <w:proofErr w:type="spellEnd"/>
      <w:r w:rsidRPr="00D67E27">
        <w:rPr>
          <w:rFonts w:ascii="Times New Roman" w:hAnsi="Times New Roman" w:cs="Times New Roman"/>
          <w:sz w:val="30"/>
          <w:szCs w:val="30"/>
        </w:rPr>
        <w:t>.</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Высоко оценила усилия Беларуси по борьбе с </w:t>
      </w:r>
      <w:proofErr w:type="spellStart"/>
      <w:r w:rsidRPr="00D67E27">
        <w:rPr>
          <w:rFonts w:ascii="Times New Roman" w:hAnsi="Times New Roman" w:cs="Times New Roman"/>
          <w:sz w:val="30"/>
          <w:szCs w:val="30"/>
        </w:rPr>
        <w:t>трафикингом</w:t>
      </w:r>
      <w:proofErr w:type="spellEnd"/>
      <w:r w:rsidRPr="00D67E27">
        <w:rPr>
          <w:rFonts w:ascii="Times New Roman" w:hAnsi="Times New Roman" w:cs="Times New Roman"/>
          <w:sz w:val="30"/>
          <w:szCs w:val="30"/>
        </w:rPr>
        <w:t xml:space="preserve"> на национальном и международном уровне и энергично поддержала идею Глобального плана Специальный докладчик ООН по торговле людьми, в особенности женщинами и детьми, посетившая нашу страну с официальным визитом в мае 2009 г.</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В феврале 2010 г. по инициативе Беларуси в ООН сформирована Группа друзей, объединившихся в борьбе с торговлей людьми, в которую на сегодня входят 22 государства, представляющих все регионы мира. Группа выступила в качестве локомотива проводимых в штаб-квартире ООН в мае-июле 2010 г. переговоров по разработке Глобального плана. </w:t>
      </w:r>
    </w:p>
    <w:p w:rsidR="00D67E27" w:rsidRPr="00D67E27" w:rsidRDefault="00D67E27" w:rsidP="00EA5DA0">
      <w:pPr>
        <w:spacing w:after="0" w:line="240" w:lineRule="auto"/>
        <w:contextualSpacing/>
        <w:jc w:val="both"/>
        <w:rPr>
          <w:rFonts w:ascii="Times New Roman" w:hAnsi="Times New Roman" w:cs="Times New Roman"/>
          <w:sz w:val="30"/>
          <w:szCs w:val="30"/>
        </w:rPr>
      </w:pP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В рамках 65-ой сессии Генеральной Ассамблеи ООН под председательством Беларуси состоялась первая Министерская встреча Группы друзей, в ходе которой обсуждены перспективы участия Группы в реализации Глобального плана, принята совместная министерская декларация, которая была опубликована в качестве официального документа 65-й сессии </w:t>
      </w:r>
      <w:proofErr w:type="gramStart"/>
      <w:r w:rsidRPr="00D67E27">
        <w:rPr>
          <w:rFonts w:ascii="Times New Roman" w:hAnsi="Times New Roman" w:cs="Times New Roman"/>
          <w:sz w:val="30"/>
          <w:szCs w:val="30"/>
        </w:rPr>
        <w:t>ГА</w:t>
      </w:r>
      <w:proofErr w:type="gramEnd"/>
      <w:r w:rsidRPr="00D67E27">
        <w:rPr>
          <w:rFonts w:ascii="Times New Roman" w:hAnsi="Times New Roman" w:cs="Times New Roman"/>
          <w:sz w:val="30"/>
          <w:szCs w:val="30"/>
        </w:rPr>
        <w:t xml:space="preserve"> ООН (A/65/497).</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В последующем по инициативе Беларуси как координатора Группы друзей были проведены вторая и третья Министерские встречи Группы, по итогам которых были также приняты декларации, распространенные в качестве официальных документов сессий ГА ООН (A/66/398 и</w:t>
      </w:r>
      <w:proofErr w:type="gramStart"/>
      <w:r w:rsidRPr="00D67E27">
        <w:rPr>
          <w:rFonts w:ascii="Times New Roman" w:hAnsi="Times New Roman" w:cs="Times New Roman"/>
          <w:sz w:val="30"/>
          <w:szCs w:val="30"/>
        </w:rPr>
        <w:t xml:space="preserve"> А</w:t>
      </w:r>
      <w:proofErr w:type="gramEnd"/>
      <w:r w:rsidRPr="00D67E27">
        <w:rPr>
          <w:rFonts w:ascii="Times New Roman" w:hAnsi="Times New Roman" w:cs="Times New Roman"/>
          <w:sz w:val="30"/>
          <w:szCs w:val="30"/>
        </w:rPr>
        <w:t>/67/497).</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proofErr w:type="gramStart"/>
      <w:r w:rsidRPr="00D67E27">
        <w:rPr>
          <w:rFonts w:ascii="Times New Roman" w:hAnsi="Times New Roman" w:cs="Times New Roman"/>
          <w:sz w:val="30"/>
          <w:szCs w:val="30"/>
        </w:rPr>
        <w:t xml:space="preserve">Кульминационным этапом процесса практической реализации </w:t>
      </w:r>
      <w:proofErr w:type="spellStart"/>
      <w:r w:rsidRPr="00D67E27">
        <w:rPr>
          <w:rFonts w:ascii="Times New Roman" w:hAnsi="Times New Roman" w:cs="Times New Roman"/>
          <w:sz w:val="30"/>
          <w:szCs w:val="30"/>
        </w:rPr>
        <w:t>антитрафикинговой</w:t>
      </w:r>
      <w:proofErr w:type="spellEnd"/>
      <w:r w:rsidRPr="00D67E27">
        <w:rPr>
          <w:rFonts w:ascii="Times New Roman" w:hAnsi="Times New Roman" w:cs="Times New Roman"/>
          <w:sz w:val="30"/>
          <w:szCs w:val="30"/>
        </w:rPr>
        <w:t xml:space="preserve"> инициативы Президента Республики Беларусь А.Лукашенко стало принятие 30 июля 2010 года Генеральной Ассамблей ООН Глобального плана действий по борьбе с торговлей людьми  (A/</w:t>
      </w:r>
      <w:proofErr w:type="spellStart"/>
      <w:r w:rsidRPr="00D67E27">
        <w:rPr>
          <w:rFonts w:ascii="Times New Roman" w:hAnsi="Times New Roman" w:cs="Times New Roman"/>
          <w:sz w:val="30"/>
          <w:szCs w:val="30"/>
        </w:rPr>
        <w:t>res</w:t>
      </w:r>
      <w:proofErr w:type="spellEnd"/>
      <w:r w:rsidRPr="00D67E27">
        <w:rPr>
          <w:rFonts w:ascii="Times New Roman" w:hAnsi="Times New Roman" w:cs="Times New Roman"/>
          <w:sz w:val="30"/>
          <w:szCs w:val="30"/>
        </w:rPr>
        <w:t>/64/293). 31 августа 2010 года на специальном заседании ГА ООН Генеральный секретарь ООН Пан Ги Мун официально объявил о начале осуществления Плана.</w:t>
      </w:r>
      <w:proofErr w:type="gramEnd"/>
      <w:r w:rsidRPr="00D67E27">
        <w:rPr>
          <w:rFonts w:ascii="Times New Roman" w:hAnsi="Times New Roman" w:cs="Times New Roman"/>
          <w:sz w:val="30"/>
          <w:szCs w:val="30"/>
        </w:rPr>
        <w:t xml:space="preserve"> </w:t>
      </w:r>
      <w:proofErr w:type="spellStart"/>
      <w:r w:rsidRPr="00D67E27">
        <w:rPr>
          <w:rFonts w:ascii="Times New Roman" w:hAnsi="Times New Roman" w:cs="Times New Roman"/>
          <w:sz w:val="30"/>
          <w:szCs w:val="30"/>
        </w:rPr>
        <w:t>Генсекретарь</w:t>
      </w:r>
      <w:proofErr w:type="spellEnd"/>
      <w:r w:rsidRPr="00D67E27">
        <w:rPr>
          <w:rFonts w:ascii="Times New Roman" w:hAnsi="Times New Roman" w:cs="Times New Roman"/>
          <w:sz w:val="30"/>
          <w:szCs w:val="30"/>
        </w:rPr>
        <w:t xml:space="preserve"> ООН высоко оценил значение Глобального плана, разработка которого была начата по инициативе Беларуси, как важнейшего механизма координации усилий </w:t>
      </w:r>
      <w:r w:rsidRPr="00D67E27">
        <w:rPr>
          <w:rFonts w:ascii="Times New Roman" w:hAnsi="Times New Roman" w:cs="Times New Roman"/>
          <w:sz w:val="30"/>
          <w:szCs w:val="30"/>
        </w:rPr>
        <w:lastRenderedPageBreak/>
        <w:t>мирового сообщества в борьбе с торговлей людьми и укрепления международного партнерства в этой сфере.</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Глобальный план предусматривает реализацию органами системы ООН и государствами-членами практических мер по усилению международного сотрудничества в сфере предотвращения преступлений, связанных с торговлей людьми, преследованию преступников. </w:t>
      </w: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p>
    <w:p w:rsidR="00D67E27" w:rsidRPr="00D67E27" w:rsidRDefault="00D67E27" w:rsidP="008E1441">
      <w:pPr>
        <w:spacing w:after="0" w:line="240" w:lineRule="auto"/>
        <w:ind w:firstLine="708"/>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В соответствии с Планом под эгидой Организации Объединенных Наций создан Целевой фонд добровольных взносов для защиты жертв торговли людьми, официальное </w:t>
      </w:r>
      <w:proofErr w:type="gramStart"/>
      <w:r w:rsidRPr="00D67E27">
        <w:rPr>
          <w:rFonts w:ascii="Times New Roman" w:hAnsi="Times New Roman" w:cs="Times New Roman"/>
          <w:sz w:val="30"/>
          <w:szCs w:val="30"/>
        </w:rPr>
        <w:t>открытие</w:t>
      </w:r>
      <w:proofErr w:type="gramEnd"/>
      <w:r w:rsidRPr="00D67E27">
        <w:rPr>
          <w:rFonts w:ascii="Times New Roman" w:hAnsi="Times New Roman" w:cs="Times New Roman"/>
          <w:sz w:val="30"/>
          <w:szCs w:val="30"/>
        </w:rPr>
        <w:t xml:space="preserve"> которого состоялось 4 ноября 2010 г. в Нью-Йорке. Республика Беларусь в числе первых внесла добровольный взнос в Фонд. </w:t>
      </w:r>
    </w:p>
    <w:p w:rsidR="00D67E27" w:rsidRPr="00D67E27" w:rsidRDefault="00D67E27" w:rsidP="00EA5DA0">
      <w:pPr>
        <w:spacing w:after="0" w:line="240" w:lineRule="auto"/>
        <w:contextualSpacing/>
        <w:jc w:val="both"/>
        <w:rPr>
          <w:rFonts w:ascii="Times New Roman" w:hAnsi="Times New Roman" w:cs="Times New Roman"/>
          <w:sz w:val="30"/>
          <w:szCs w:val="30"/>
        </w:rPr>
      </w:pP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r w:rsidR="008E1441">
        <w:rPr>
          <w:rFonts w:ascii="Times New Roman" w:hAnsi="Times New Roman" w:cs="Times New Roman"/>
          <w:sz w:val="30"/>
          <w:szCs w:val="30"/>
          <w:lang w:val="be-BY"/>
        </w:rPr>
        <w:tab/>
      </w:r>
      <w:r w:rsidRPr="00D67E27">
        <w:rPr>
          <w:rFonts w:ascii="Times New Roman" w:hAnsi="Times New Roman" w:cs="Times New Roman"/>
          <w:sz w:val="30"/>
          <w:szCs w:val="30"/>
        </w:rPr>
        <w:t xml:space="preserve">Во исполнение Глобального плана Управлением ООН по наркотикам и преступности подготовлен Глобальный доклад о торговле людьми, в котором содержится анализ мировых тенденций в данной области. </w:t>
      </w:r>
    </w:p>
    <w:p w:rsidR="00D67E27" w:rsidRPr="00D67E27" w:rsidRDefault="00D67E27" w:rsidP="00EA5DA0">
      <w:pPr>
        <w:spacing w:after="0" w:line="240" w:lineRule="auto"/>
        <w:contextualSpacing/>
        <w:jc w:val="both"/>
        <w:rPr>
          <w:rFonts w:ascii="Times New Roman" w:hAnsi="Times New Roman" w:cs="Times New Roman"/>
          <w:sz w:val="30"/>
          <w:szCs w:val="30"/>
        </w:rPr>
      </w:pP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r w:rsidR="008E1441">
        <w:rPr>
          <w:rFonts w:ascii="Times New Roman" w:hAnsi="Times New Roman" w:cs="Times New Roman"/>
          <w:sz w:val="30"/>
          <w:szCs w:val="30"/>
          <w:lang w:val="be-BY"/>
        </w:rPr>
        <w:tab/>
      </w:r>
      <w:r w:rsidRPr="00D67E27">
        <w:rPr>
          <w:rFonts w:ascii="Times New Roman" w:hAnsi="Times New Roman" w:cs="Times New Roman"/>
          <w:sz w:val="30"/>
          <w:szCs w:val="30"/>
        </w:rPr>
        <w:t>В 2011 году 20-я сессия Комисс</w:t>
      </w:r>
      <w:proofErr w:type="gramStart"/>
      <w:r w:rsidRPr="00D67E27">
        <w:rPr>
          <w:rFonts w:ascii="Times New Roman" w:hAnsi="Times New Roman" w:cs="Times New Roman"/>
          <w:sz w:val="30"/>
          <w:szCs w:val="30"/>
        </w:rPr>
        <w:t>ии ОО</w:t>
      </w:r>
      <w:proofErr w:type="gramEnd"/>
      <w:r w:rsidRPr="00D67E27">
        <w:rPr>
          <w:rFonts w:ascii="Times New Roman" w:hAnsi="Times New Roman" w:cs="Times New Roman"/>
          <w:sz w:val="30"/>
          <w:szCs w:val="30"/>
        </w:rPr>
        <w:t xml:space="preserve">Н по предупреждению преступности и уголовному правосудию приняла предложенный Беларусью проект резолюции «Осуществление Глобального плана действий Организации Объединенных Наций по борьбе с торговлей людьми». </w:t>
      </w:r>
    </w:p>
    <w:p w:rsidR="00D67E27" w:rsidRPr="00D67E27" w:rsidRDefault="00D67E27" w:rsidP="00EA5DA0">
      <w:pPr>
        <w:spacing w:after="0" w:line="240" w:lineRule="auto"/>
        <w:contextualSpacing/>
        <w:jc w:val="both"/>
        <w:rPr>
          <w:rFonts w:ascii="Times New Roman" w:hAnsi="Times New Roman" w:cs="Times New Roman"/>
          <w:sz w:val="30"/>
          <w:szCs w:val="30"/>
        </w:rPr>
      </w:pP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r w:rsidR="008E1441">
        <w:rPr>
          <w:rFonts w:ascii="Times New Roman" w:hAnsi="Times New Roman" w:cs="Times New Roman"/>
          <w:sz w:val="30"/>
          <w:szCs w:val="30"/>
          <w:lang w:val="be-BY"/>
        </w:rPr>
        <w:tab/>
      </w:r>
      <w:proofErr w:type="gramStart"/>
      <w:r w:rsidRPr="00D67E27">
        <w:rPr>
          <w:rFonts w:ascii="Times New Roman" w:hAnsi="Times New Roman" w:cs="Times New Roman"/>
          <w:sz w:val="30"/>
          <w:szCs w:val="30"/>
        </w:rPr>
        <w:t>По инициативе Беларуси при всеобщей поддержке государств-членов ООН включены положения о необходимости выполнения Глобального плана в основные документы ООН, в том числе в резолюции и решения сессий ГА ООН, ЭКОСОС, Совета ООН по правам человека, Комиссии ООН по положению женщин, Комиссии ООН по предупреждению преступности и уголовному правосудию, Комиссии ООН по народонаселению и развитию, а также 6-й сессии Конференции государств-участников</w:t>
      </w:r>
      <w:proofErr w:type="gramEnd"/>
      <w:r w:rsidRPr="00D67E27">
        <w:rPr>
          <w:rFonts w:ascii="Times New Roman" w:hAnsi="Times New Roman" w:cs="Times New Roman"/>
          <w:sz w:val="30"/>
          <w:szCs w:val="30"/>
        </w:rPr>
        <w:t xml:space="preserve"> Конвенц</w:t>
      </w:r>
      <w:proofErr w:type="gramStart"/>
      <w:r w:rsidRPr="00D67E27">
        <w:rPr>
          <w:rFonts w:ascii="Times New Roman" w:hAnsi="Times New Roman" w:cs="Times New Roman"/>
          <w:sz w:val="30"/>
          <w:szCs w:val="30"/>
        </w:rPr>
        <w:t>ии ОО</w:t>
      </w:r>
      <w:proofErr w:type="gramEnd"/>
      <w:r w:rsidRPr="00D67E27">
        <w:rPr>
          <w:rFonts w:ascii="Times New Roman" w:hAnsi="Times New Roman" w:cs="Times New Roman"/>
          <w:sz w:val="30"/>
          <w:szCs w:val="30"/>
        </w:rPr>
        <w:t xml:space="preserve">Н против транснациональной организованной преступности (октябрь 2012 г.). </w:t>
      </w:r>
    </w:p>
    <w:p w:rsidR="00D67E27" w:rsidRPr="00D67E27" w:rsidRDefault="00D67E27" w:rsidP="00EA5DA0">
      <w:pPr>
        <w:spacing w:after="0" w:line="240" w:lineRule="auto"/>
        <w:contextualSpacing/>
        <w:jc w:val="both"/>
        <w:rPr>
          <w:rFonts w:ascii="Times New Roman" w:hAnsi="Times New Roman" w:cs="Times New Roman"/>
          <w:sz w:val="30"/>
          <w:szCs w:val="30"/>
        </w:rPr>
      </w:pP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r w:rsidR="008E1441">
        <w:rPr>
          <w:rFonts w:ascii="Times New Roman" w:hAnsi="Times New Roman" w:cs="Times New Roman"/>
          <w:sz w:val="30"/>
          <w:szCs w:val="30"/>
          <w:lang w:val="be-BY"/>
        </w:rPr>
        <w:tab/>
      </w:r>
      <w:r w:rsidRPr="00D67E27">
        <w:rPr>
          <w:rFonts w:ascii="Times New Roman" w:hAnsi="Times New Roman" w:cs="Times New Roman"/>
          <w:sz w:val="30"/>
          <w:szCs w:val="30"/>
        </w:rPr>
        <w:t>3 апреля 2012 года по инициативе Беларуси совместно с Группой друзей, под патронажем Председателя Генеральной Ассамблеи ООН в штаб-квартире ООН (г</w:t>
      </w:r>
      <w:proofErr w:type="gramStart"/>
      <w:r w:rsidRPr="00D67E27">
        <w:rPr>
          <w:rFonts w:ascii="Times New Roman" w:hAnsi="Times New Roman" w:cs="Times New Roman"/>
          <w:sz w:val="30"/>
          <w:szCs w:val="30"/>
        </w:rPr>
        <w:t>.Н</w:t>
      </w:r>
      <w:proofErr w:type="gramEnd"/>
      <w:r w:rsidRPr="00D67E27">
        <w:rPr>
          <w:rFonts w:ascii="Times New Roman" w:hAnsi="Times New Roman" w:cs="Times New Roman"/>
          <w:sz w:val="30"/>
          <w:szCs w:val="30"/>
        </w:rPr>
        <w:t xml:space="preserve">ью-Йорк) состоялся интерактивный диалог ГА ООН «Борьба с торговлей людьми: партнерство и инновации для прекращения насилия в отношении женщин и детей» для активизации взаимодействия в борьбе с торговлей людьми всех заинтересованных: </w:t>
      </w:r>
      <w:r w:rsidRPr="00D67E27">
        <w:rPr>
          <w:rFonts w:ascii="Times New Roman" w:hAnsi="Times New Roman" w:cs="Times New Roman"/>
          <w:sz w:val="30"/>
          <w:szCs w:val="30"/>
        </w:rPr>
        <w:lastRenderedPageBreak/>
        <w:t xml:space="preserve">государств, гражданского общества, международных организаций, частного сектора с целью защиты жертв торговли людьми. Мероприятие получило широкую поддержку Генерального секретаря ООН, который выступил перед участниками диалога. </w:t>
      </w:r>
    </w:p>
    <w:p w:rsidR="00D67E27" w:rsidRPr="00D67E27" w:rsidRDefault="00D67E27" w:rsidP="00EA5DA0">
      <w:pPr>
        <w:spacing w:after="0" w:line="240" w:lineRule="auto"/>
        <w:contextualSpacing/>
        <w:jc w:val="both"/>
        <w:rPr>
          <w:rFonts w:ascii="Times New Roman" w:hAnsi="Times New Roman" w:cs="Times New Roman"/>
          <w:sz w:val="30"/>
          <w:szCs w:val="30"/>
        </w:rPr>
      </w:pPr>
    </w:p>
    <w:p w:rsidR="00D67E27" w:rsidRPr="00D67E27" w:rsidRDefault="00D67E27" w:rsidP="00EA5DA0">
      <w:pPr>
        <w:spacing w:after="0" w:line="240" w:lineRule="auto"/>
        <w:contextualSpacing/>
        <w:jc w:val="both"/>
        <w:rPr>
          <w:rFonts w:ascii="Times New Roman" w:hAnsi="Times New Roman" w:cs="Times New Roman"/>
          <w:sz w:val="30"/>
          <w:szCs w:val="30"/>
        </w:rPr>
      </w:pPr>
      <w:r w:rsidRPr="00D67E27">
        <w:rPr>
          <w:rFonts w:ascii="Times New Roman" w:hAnsi="Times New Roman" w:cs="Times New Roman"/>
          <w:sz w:val="30"/>
          <w:szCs w:val="30"/>
        </w:rPr>
        <w:t xml:space="preserve"> </w:t>
      </w:r>
      <w:r w:rsidR="008E1441">
        <w:rPr>
          <w:rFonts w:ascii="Times New Roman" w:hAnsi="Times New Roman" w:cs="Times New Roman"/>
          <w:sz w:val="30"/>
          <w:szCs w:val="30"/>
          <w:lang w:val="be-BY"/>
        </w:rPr>
        <w:tab/>
      </w:r>
      <w:r w:rsidRPr="00D67E27">
        <w:rPr>
          <w:rFonts w:ascii="Times New Roman" w:hAnsi="Times New Roman" w:cs="Times New Roman"/>
          <w:sz w:val="30"/>
          <w:szCs w:val="30"/>
        </w:rPr>
        <w:t xml:space="preserve">По инициативе Беларуси на 67-й сессии </w:t>
      </w:r>
      <w:proofErr w:type="gramStart"/>
      <w:r w:rsidRPr="00D67E27">
        <w:rPr>
          <w:rFonts w:ascii="Times New Roman" w:hAnsi="Times New Roman" w:cs="Times New Roman"/>
          <w:sz w:val="30"/>
          <w:szCs w:val="30"/>
        </w:rPr>
        <w:t>ГА</w:t>
      </w:r>
      <w:proofErr w:type="gramEnd"/>
      <w:r w:rsidRPr="00D67E27">
        <w:rPr>
          <w:rFonts w:ascii="Times New Roman" w:hAnsi="Times New Roman" w:cs="Times New Roman"/>
          <w:sz w:val="30"/>
          <w:szCs w:val="30"/>
        </w:rPr>
        <w:t xml:space="preserve"> ООН консенсусом принята очередная резолюция A/RES/67/190 «Об улучшении координации усилий по борьбе с торговлей людьми». В соответствии с резолюцией в ООН в 2013 году пройдет заседание Генассамбл</w:t>
      </w:r>
      <w:proofErr w:type="gramStart"/>
      <w:r w:rsidRPr="00D67E27">
        <w:rPr>
          <w:rFonts w:ascii="Times New Roman" w:hAnsi="Times New Roman" w:cs="Times New Roman"/>
          <w:sz w:val="30"/>
          <w:szCs w:val="30"/>
        </w:rPr>
        <w:t>еи ОО</w:t>
      </w:r>
      <w:proofErr w:type="gramEnd"/>
      <w:r w:rsidRPr="00D67E27">
        <w:rPr>
          <w:rFonts w:ascii="Times New Roman" w:hAnsi="Times New Roman" w:cs="Times New Roman"/>
          <w:sz w:val="30"/>
          <w:szCs w:val="30"/>
        </w:rPr>
        <w:t>Н высокого уровня по обзору хода выполнения Глобального плана действий по борьбе с торговлей людьми.</w:t>
      </w:r>
    </w:p>
    <w:p w:rsidR="00D67E27" w:rsidRPr="00EA5DA0" w:rsidRDefault="00D67E27" w:rsidP="00EA5DA0">
      <w:pPr>
        <w:spacing w:after="0" w:line="240" w:lineRule="auto"/>
        <w:ind w:firstLine="708"/>
        <w:contextualSpacing/>
        <w:jc w:val="center"/>
        <w:rPr>
          <w:b/>
          <w:color w:val="FF0000"/>
          <w:sz w:val="30"/>
          <w:szCs w:val="30"/>
        </w:rPr>
      </w:pPr>
      <w:r w:rsidRPr="00EA5DA0">
        <w:rPr>
          <w:b/>
          <w:color w:val="FF0000"/>
          <w:sz w:val="30"/>
          <w:szCs w:val="30"/>
        </w:rPr>
        <w:t>КОЛИЧЕСТВО</w:t>
      </w:r>
    </w:p>
    <w:p w:rsidR="00D67E27" w:rsidRPr="00EA5DA0" w:rsidRDefault="00D67E27" w:rsidP="00EA5DA0">
      <w:pPr>
        <w:spacing w:after="0" w:line="240" w:lineRule="auto"/>
        <w:contextualSpacing/>
        <w:jc w:val="center"/>
        <w:rPr>
          <w:b/>
          <w:color w:val="FF0000"/>
          <w:sz w:val="30"/>
          <w:szCs w:val="30"/>
        </w:rPr>
      </w:pPr>
      <w:r w:rsidRPr="00EA5DA0">
        <w:rPr>
          <w:b/>
          <w:color w:val="FF0000"/>
          <w:sz w:val="30"/>
          <w:szCs w:val="30"/>
        </w:rPr>
        <w:t>НЕСОВЕРШЕННОЛЕТНИХ ЖЕРТВ ТОРГОВЛИ ЛЮДЬМИ</w:t>
      </w:r>
    </w:p>
    <w:p w:rsidR="00D67E27" w:rsidRPr="00EA5DA0" w:rsidRDefault="00D67E27" w:rsidP="00EA5DA0">
      <w:pPr>
        <w:spacing w:after="0" w:line="240" w:lineRule="auto"/>
        <w:contextualSpacing/>
        <w:jc w:val="center"/>
        <w:rPr>
          <w:b/>
          <w:color w:val="FF0000"/>
          <w:sz w:val="30"/>
          <w:szCs w:val="30"/>
        </w:rPr>
      </w:pPr>
      <w:r w:rsidRPr="00EA5DA0">
        <w:rPr>
          <w:b/>
          <w:color w:val="FF0000"/>
          <w:sz w:val="30"/>
          <w:szCs w:val="30"/>
        </w:rPr>
        <w:t>(2005 – 2014 годы)</w:t>
      </w:r>
    </w:p>
    <w:p w:rsidR="00D67E27" w:rsidRPr="005711A3" w:rsidRDefault="00D67E27" w:rsidP="00EA5DA0">
      <w:pPr>
        <w:spacing w:after="0" w:line="240" w:lineRule="auto"/>
        <w:contextualSpacing/>
        <w:jc w:val="both"/>
        <w:rPr>
          <w:sz w:val="30"/>
          <w:szCs w:val="30"/>
        </w:rPr>
      </w:pPr>
      <w:r w:rsidRPr="005711A3">
        <w:rPr>
          <w:sz w:val="30"/>
          <w:szCs w:val="30"/>
        </w:rPr>
        <w:t xml:space="preserve">2005 год – </w:t>
      </w:r>
      <w:r>
        <w:rPr>
          <w:sz w:val="30"/>
          <w:szCs w:val="30"/>
        </w:rPr>
        <w:t>61 несовершеннолетняя жертва (</w:t>
      </w:r>
      <w:r w:rsidRPr="0061737C">
        <w:rPr>
          <w:i/>
          <w:sz w:val="30"/>
          <w:szCs w:val="30"/>
        </w:rPr>
        <w:t>9,8% от общ</w:t>
      </w:r>
      <w:proofErr w:type="gramStart"/>
      <w:r w:rsidRPr="0061737C">
        <w:rPr>
          <w:i/>
          <w:sz w:val="30"/>
          <w:szCs w:val="30"/>
        </w:rPr>
        <w:t>.</w:t>
      </w:r>
      <w:proofErr w:type="gramEnd"/>
      <w:r w:rsidRPr="0061737C">
        <w:rPr>
          <w:i/>
          <w:sz w:val="30"/>
          <w:szCs w:val="30"/>
        </w:rPr>
        <w:t xml:space="preserve"> </w:t>
      </w:r>
      <w:proofErr w:type="gramStart"/>
      <w:r w:rsidRPr="0061737C">
        <w:rPr>
          <w:i/>
          <w:sz w:val="30"/>
          <w:szCs w:val="30"/>
        </w:rPr>
        <w:t>к</w:t>
      </w:r>
      <w:proofErr w:type="gramEnd"/>
      <w:r w:rsidRPr="0061737C">
        <w:rPr>
          <w:i/>
          <w:sz w:val="30"/>
          <w:szCs w:val="30"/>
        </w:rPr>
        <w:t>ол-ва ЖТЛ</w:t>
      </w:r>
      <w:r>
        <w:rPr>
          <w:sz w:val="30"/>
          <w:szCs w:val="30"/>
        </w:rPr>
        <w:t>)</w:t>
      </w:r>
      <w:r w:rsidRPr="005711A3">
        <w:rPr>
          <w:sz w:val="30"/>
          <w:szCs w:val="30"/>
        </w:rPr>
        <w:t>:</w:t>
      </w:r>
    </w:p>
    <w:p w:rsidR="00D67E27" w:rsidRPr="005711A3" w:rsidRDefault="00D67E27" w:rsidP="00EA5DA0">
      <w:pPr>
        <w:spacing w:after="0" w:line="240" w:lineRule="auto"/>
        <w:ind w:firstLine="1400"/>
        <w:contextualSpacing/>
        <w:jc w:val="both"/>
        <w:rPr>
          <w:color w:val="00B050"/>
          <w:sz w:val="30"/>
          <w:szCs w:val="30"/>
        </w:rPr>
      </w:pPr>
      <w:r>
        <w:rPr>
          <w:color w:val="00B050"/>
          <w:sz w:val="30"/>
          <w:szCs w:val="30"/>
        </w:rPr>
        <w:t>подверглись сексуальной эксплуатации</w:t>
      </w:r>
      <w:r w:rsidRPr="005711A3">
        <w:rPr>
          <w:color w:val="00B050"/>
          <w:sz w:val="30"/>
          <w:szCs w:val="30"/>
        </w:rPr>
        <w:t xml:space="preserve"> – </w:t>
      </w:r>
      <w:r>
        <w:rPr>
          <w:color w:val="00B050"/>
          <w:sz w:val="30"/>
          <w:szCs w:val="30"/>
        </w:rPr>
        <w:t>59</w:t>
      </w:r>
      <w:r w:rsidRPr="005711A3">
        <w:rPr>
          <w:color w:val="00B050"/>
          <w:sz w:val="30"/>
          <w:szCs w:val="30"/>
        </w:rPr>
        <w:t>,</w:t>
      </w:r>
    </w:p>
    <w:p w:rsidR="00D67E27" w:rsidRPr="005711A3" w:rsidRDefault="00D67E27" w:rsidP="00EA5DA0">
      <w:pPr>
        <w:spacing w:after="0" w:line="240" w:lineRule="auto"/>
        <w:ind w:firstLine="1400"/>
        <w:contextualSpacing/>
        <w:jc w:val="both"/>
        <w:rPr>
          <w:color w:val="0070C0"/>
          <w:sz w:val="30"/>
          <w:szCs w:val="30"/>
        </w:rPr>
      </w:pPr>
      <w:r>
        <w:rPr>
          <w:color w:val="0070C0"/>
          <w:sz w:val="30"/>
          <w:szCs w:val="30"/>
        </w:rPr>
        <w:t>подверглись трудовой эксплуатации</w:t>
      </w:r>
      <w:r w:rsidRPr="005711A3">
        <w:rPr>
          <w:color w:val="0070C0"/>
          <w:sz w:val="30"/>
          <w:szCs w:val="30"/>
        </w:rPr>
        <w:t xml:space="preserve"> – </w:t>
      </w:r>
      <w:r>
        <w:rPr>
          <w:color w:val="0070C0"/>
          <w:sz w:val="30"/>
          <w:szCs w:val="30"/>
        </w:rPr>
        <w:t>2</w:t>
      </w:r>
      <w:r w:rsidRPr="005711A3">
        <w:rPr>
          <w:color w:val="0070C0"/>
          <w:sz w:val="30"/>
          <w:szCs w:val="30"/>
        </w:rPr>
        <w:t>;</w:t>
      </w:r>
    </w:p>
    <w:p w:rsidR="00D67E27" w:rsidRPr="005711A3" w:rsidRDefault="00D67E27" w:rsidP="00EA5DA0">
      <w:pPr>
        <w:spacing w:after="0" w:line="240" w:lineRule="auto"/>
        <w:contextualSpacing/>
        <w:jc w:val="both"/>
        <w:rPr>
          <w:sz w:val="30"/>
          <w:szCs w:val="30"/>
        </w:rPr>
      </w:pPr>
      <w:r w:rsidRPr="005711A3">
        <w:rPr>
          <w:sz w:val="30"/>
          <w:szCs w:val="30"/>
        </w:rPr>
        <w:t xml:space="preserve">2006 год – </w:t>
      </w:r>
      <w:r>
        <w:rPr>
          <w:sz w:val="30"/>
          <w:szCs w:val="30"/>
        </w:rPr>
        <w:t>222 несовершеннолетние жертвы (20%)</w:t>
      </w:r>
      <w:r w:rsidRPr="005711A3">
        <w:rPr>
          <w:sz w:val="30"/>
          <w:szCs w:val="30"/>
        </w:rPr>
        <w:t>:</w:t>
      </w:r>
    </w:p>
    <w:p w:rsidR="00D67E27" w:rsidRPr="005711A3" w:rsidRDefault="00D67E27" w:rsidP="00EA5DA0">
      <w:pPr>
        <w:spacing w:after="0" w:line="240" w:lineRule="auto"/>
        <w:ind w:firstLine="1400"/>
        <w:contextualSpacing/>
        <w:jc w:val="both"/>
        <w:rPr>
          <w:color w:val="00B050"/>
          <w:sz w:val="30"/>
          <w:szCs w:val="30"/>
        </w:rPr>
      </w:pPr>
      <w:r>
        <w:rPr>
          <w:color w:val="00B050"/>
          <w:sz w:val="30"/>
          <w:szCs w:val="30"/>
        </w:rPr>
        <w:t>подверглись сексуальной эксплуатации</w:t>
      </w:r>
      <w:r w:rsidRPr="005711A3">
        <w:rPr>
          <w:color w:val="00B050"/>
          <w:sz w:val="30"/>
          <w:szCs w:val="30"/>
        </w:rPr>
        <w:t xml:space="preserve"> – </w:t>
      </w:r>
      <w:r>
        <w:rPr>
          <w:color w:val="00B050"/>
          <w:sz w:val="30"/>
          <w:szCs w:val="30"/>
        </w:rPr>
        <w:t>218</w:t>
      </w:r>
      <w:r w:rsidRPr="005711A3">
        <w:rPr>
          <w:color w:val="00B050"/>
          <w:sz w:val="30"/>
          <w:szCs w:val="30"/>
        </w:rPr>
        <w:t>,</w:t>
      </w:r>
    </w:p>
    <w:p w:rsidR="00D67E27" w:rsidRPr="005711A3" w:rsidRDefault="00D67E27" w:rsidP="00EA5DA0">
      <w:pPr>
        <w:spacing w:after="0" w:line="240" w:lineRule="auto"/>
        <w:ind w:firstLine="1418"/>
        <w:contextualSpacing/>
        <w:jc w:val="both"/>
        <w:rPr>
          <w:color w:val="0070C0"/>
          <w:sz w:val="30"/>
          <w:szCs w:val="30"/>
        </w:rPr>
      </w:pPr>
      <w:r>
        <w:rPr>
          <w:color w:val="0070C0"/>
          <w:sz w:val="30"/>
          <w:szCs w:val="30"/>
        </w:rPr>
        <w:t>подверглись трудовой эксплуатации</w:t>
      </w:r>
      <w:r w:rsidRPr="005711A3">
        <w:rPr>
          <w:color w:val="0070C0"/>
          <w:sz w:val="30"/>
          <w:szCs w:val="30"/>
        </w:rPr>
        <w:t xml:space="preserve"> – </w:t>
      </w:r>
      <w:r>
        <w:rPr>
          <w:color w:val="0070C0"/>
          <w:sz w:val="30"/>
          <w:szCs w:val="30"/>
        </w:rPr>
        <w:t>4</w:t>
      </w:r>
      <w:r w:rsidRPr="005711A3">
        <w:rPr>
          <w:color w:val="0070C0"/>
          <w:sz w:val="30"/>
          <w:szCs w:val="30"/>
        </w:rPr>
        <w:t>;</w:t>
      </w:r>
    </w:p>
    <w:p w:rsidR="00D67E27" w:rsidRPr="005711A3" w:rsidRDefault="00D67E27" w:rsidP="00EA5DA0">
      <w:pPr>
        <w:spacing w:after="0" w:line="240" w:lineRule="auto"/>
        <w:contextualSpacing/>
        <w:jc w:val="both"/>
        <w:rPr>
          <w:sz w:val="30"/>
          <w:szCs w:val="30"/>
        </w:rPr>
      </w:pPr>
      <w:r w:rsidRPr="005711A3">
        <w:rPr>
          <w:sz w:val="30"/>
          <w:szCs w:val="30"/>
        </w:rPr>
        <w:t xml:space="preserve">2007 год – </w:t>
      </w:r>
      <w:r>
        <w:rPr>
          <w:sz w:val="30"/>
          <w:szCs w:val="30"/>
        </w:rPr>
        <w:t>23 несовершеннолетние жертвы (5,5%)</w:t>
      </w:r>
      <w:r w:rsidRPr="005711A3">
        <w:rPr>
          <w:sz w:val="30"/>
          <w:szCs w:val="30"/>
        </w:rPr>
        <w:t>:</w:t>
      </w:r>
    </w:p>
    <w:p w:rsidR="00D67E27" w:rsidRPr="005711A3" w:rsidRDefault="00D67E27" w:rsidP="00EA5DA0">
      <w:pPr>
        <w:spacing w:after="0" w:line="240" w:lineRule="auto"/>
        <w:ind w:firstLine="1400"/>
        <w:contextualSpacing/>
        <w:jc w:val="both"/>
        <w:rPr>
          <w:color w:val="00B050"/>
          <w:sz w:val="30"/>
          <w:szCs w:val="30"/>
        </w:rPr>
      </w:pPr>
      <w:r>
        <w:rPr>
          <w:color w:val="00B050"/>
          <w:sz w:val="30"/>
          <w:szCs w:val="30"/>
        </w:rPr>
        <w:t>подверглись сексуальной эксплуатации</w:t>
      </w:r>
      <w:r w:rsidRPr="005711A3">
        <w:rPr>
          <w:color w:val="00B050"/>
          <w:sz w:val="30"/>
          <w:szCs w:val="30"/>
        </w:rPr>
        <w:t xml:space="preserve"> – </w:t>
      </w:r>
      <w:r>
        <w:rPr>
          <w:color w:val="00B050"/>
          <w:sz w:val="30"/>
          <w:szCs w:val="30"/>
        </w:rPr>
        <w:t>22</w:t>
      </w:r>
      <w:r w:rsidRPr="005711A3">
        <w:rPr>
          <w:color w:val="00B050"/>
          <w:sz w:val="30"/>
          <w:szCs w:val="30"/>
        </w:rPr>
        <w:t>,</w:t>
      </w:r>
    </w:p>
    <w:p w:rsidR="00D67E27" w:rsidRPr="005711A3" w:rsidRDefault="00D67E27" w:rsidP="00EA5DA0">
      <w:pPr>
        <w:spacing w:after="0" w:line="240" w:lineRule="auto"/>
        <w:ind w:firstLine="1418"/>
        <w:contextualSpacing/>
        <w:jc w:val="both"/>
        <w:rPr>
          <w:color w:val="0070C0"/>
          <w:sz w:val="30"/>
          <w:szCs w:val="30"/>
        </w:rPr>
      </w:pPr>
      <w:r>
        <w:rPr>
          <w:color w:val="0070C0"/>
          <w:sz w:val="30"/>
          <w:szCs w:val="30"/>
        </w:rPr>
        <w:t>подверглись трудовой эксплуатации</w:t>
      </w:r>
      <w:r w:rsidRPr="005711A3">
        <w:rPr>
          <w:color w:val="0070C0"/>
          <w:sz w:val="30"/>
          <w:szCs w:val="30"/>
        </w:rPr>
        <w:t xml:space="preserve"> – </w:t>
      </w:r>
      <w:r>
        <w:rPr>
          <w:color w:val="0070C0"/>
          <w:sz w:val="30"/>
          <w:szCs w:val="30"/>
        </w:rPr>
        <w:t>1</w:t>
      </w:r>
      <w:r w:rsidRPr="005711A3">
        <w:rPr>
          <w:color w:val="0070C0"/>
          <w:sz w:val="30"/>
          <w:szCs w:val="30"/>
        </w:rPr>
        <w:t>;</w:t>
      </w:r>
    </w:p>
    <w:p w:rsidR="00D67E27" w:rsidRPr="005711A3" w:rsidRDefault="00D67E27" w:rsidP="00EA5DA0">
      <w:pPr>
        <w:spacing w:after="0" w:line="240" w:lineRule="auto"/>
        <w:contextualSpacing/>
        <w:jc w:val="both"/>
        <w:rPr>
          <w:sz w:val="30"/>
          <w:szCs w:val="30"/>
        </w:rPr>
      </w:pPr>
      <w:r w:rsidRPr="005711A3">
        <w:rPr>
          <w:sz w:val="30"/>
          <w:szCs w:val="30"/>
        </w:rPr>
        <w:t xml:space="preserve">2008 год – </w:t>
      </w:r>
      <w:r>
        <w:rPr>
          <w:sz w:val="30"/>
          <w:szCs w:val="30"/>
        </w:rPr>
        <w:t>103 несовершеннолетние жертвы (17,4%)</w:t>
      </w:r>
      <w:r w:rsidRPr="005711A3">
        <w:rPr>
          <w:sz w:val="30"/>
          <w:szCs w:val="30"/>
        </w:rPr>
        <w:t>:</w:t>
      </w:r>
    </w:p>
    <w:p w:rsidR="00D67E27" w:rsidRPr="005711A3" w:rsidRDefault="00D67E27" w:rsidP="00EA5DA0">
      <w:pPr>
        <w:spacing w:after="0" w:line="240" w:lineRule="auto"/>
        <w:ind w:firstLine="1400"/>
        <w:contextualSpacing/>
        <w:jc w:val="both"/>
        <w:rPr>
          <w:color w:val="00B050"/>
          <w:sz w:val="30"/>
          <w:szCs w:val="30"/>
        </w:rPr>
      </w:pPr>
      <w:r>
        <w:rPr>
          <w:color w:val="00B050"/>
          <w:sz w:val="30"/>
          <w:szCs w:val="30"/>
        </w:rPr>
        <w:t>подверглись сексуальной эксплуатации</w:t>
      </w:r>
      <w:r w:rsidRPr="005711A3">
        <w:rPr>
          <w:color w:val="00B050"/>
          <w:sz w:val="30"/>
          <w:szCs w:val="30"/>
        </w:rPr>
        <w:t xml:space="preserve"> – </w:t>
      </w:r>
      <w:r>
        <w:rPr>
          <w:color w:val="00B050"/>
          <w:sz w:val="30"/>
          <w:szCs w:val="30"/>
        </w:rPr>
        <w:t>103</w:t>
      </w:r>
      <w:r w:rsidRPr="005711A3">
        <w:rPr>
          <w:color w:val="00B050"/>
          <w:sz w:val="30"/>
          <w:szCs w:val="30"/>
        </w:rPr>
        <w:t>,</w:t>
      </w:r>
    </w:p>
    <w:p w:rsidR="00D67E27" w:rsidRPr="005711A3" w:rsidRDefault="00D67E27" w:rsidP="00EA5DA0">
      <w:pPr>
        <w:spacing w:after="0" w:line="240" w:lineRule="auto"/>
        <w:ind w:firstLine="1418"/>
        <w:contextualSpacing/>
        <w:jc w:val="both"/>
        <w:rPr>
          <w:color w:val="0070C0"/>
          <w:sz w:val="30"/>
          <w:szCs w:val="30"/>
        </w:rPr>
      </w:pPr>
      <w:r>
        <w:rPr>
          <w:color w:val="0070C0"/>
          <w:sz w:val="30"/>
          <w:szCs w:val="30"/>
        </w:rPr>
        <w:t>подверглись трудовой эксплуатации</w:t>
      </w:r>
      <w:r w:rsidRPr="005711A3">
        <w:rPr>
          <w:color w:val="0070C0"/>
          <w:sz w:val="30"/>
          <w:szCs w:val="30"/>
        </w:rPr>
        <w:t xml:space="preserve"> – </w:t>
      </w:r>
      <w:r>
        <w:rPr>
          <w:color w:val="0070C0"/>
          <w:sz w:val="30"/>
          <w:szCs w:val="30"/>
        </w:rPr>
        <w:t>0</w:t>
      </w:r>
      <w:r w:rsidRPr="005711A3">
        <w:rPr>
          <w:color w:val="0070C0"/>
          <w:sz w:val="30"/>
          <w:szCs w:val="30"/>
        </w:rPr>
        <w:t>;</w:t>
      </w:r>
    </w:p>
    <w:p w:rsidR="00D67E27" w:rsidRPr="005711A3" w:rsidRDefault="00D67E27" w:rsidP="00EA5DA0">
      <w:pPr>
        <w:spacing w:after="0" w:line="240" w:lineRule="auto"/>
        <w:contextualSpacing/>
        <w:jc w:val="both"/>
        <w:rPr>
          <w:sz w:val="30"/>
          <w:szCs w:val="30"/>
        </w:rPr>
      </w:pPr>
      <w:r>
        <w:rPr>
          <w:sz w:val="30"/>
          <w:szCs w:val="30"/>
        </w:rPr>
        <w:t>2009 год</w:t>
      </w:r>
      <w:r w:rsidRPr="005711A3">
        <w:rPr>
          <w:sz w:val="30"/>
          <w:szCs w:val="30"/>
        </w:rPr>
        <w:t xml:space="preserve"> – </w:t>
      </w:r>
      <w:r>
        <w:rPr>
          <w:sz w:val="30"/>
          <w:szCs w:val="30"/>
        </w:rPr>
        <w:t>35 несовершеннолетних жертв (8,8%)</w:t>
      </w:r>
      <w:r w:rsidRPr="005711A3">
        <w:rPr>
          <w:sz w:val="30"/>
          <w:szCs w:val="30"/>
        </w:rPr>
        <w:t>:</w:t>
      </w:r>
    </w:p>
    <w:p w:rsidR="00D67E27" w:rsidRPr="005711A3" w:rsidRDefault="00D67E27" w:rsidP="00EA5DA0">
      <w:pPr>
        <w:spacing w:after="0" w:line="240" w:lineRule="auto"/>
        <w:ind w:firstLine="1400"/>
        <w:contextualSpacing/>
        <w:jc w:val="both"/>
        <w:rPr>
          <w:color w:val="00B050"/>
          <w:sz w:val="30"/>
          <w:szCs w:val="30"/>
        </w:rPr>
      </w:pPr>
      <w:r>
        <w:rPr>
          <w:color w:val="00B050"/>
          <w:sz w:val="30"/>
          <w:szCs w:val="30"/>
        </w:rPr>
        <w:t>подверглись сексуальной эксплуатации</w:t>
      </w:r>
      <w:r w:rsidRPr="005711A3">
        <w:rPr>
          <w:color w:val="00B050"/>
          <w:sz w:val="30"/>
          <w:szCs w:val="30"/>
        </w:rPr>
        <w:t xml:space="preserve"> – </w:t>
      </w:r>
      <w:r>
        <w:rPr>
          <w:color w:val="00B050"/>
          <w:sz w:val="30"/>
          <w:szCs w:val="30"/>
        </w:rPr>
        <w:t>35</w:t>
      </w:r>
      <w:r w:rsidRPr="005711A3">
        <w:rPr>
          <w:color w:val="00B050"/>
          <w:sz w:val="30"/>
          <w:szCs w:val="30"/>
        </w:rPr>
        <w:t>,</w:t>
      </w:r>
    </w:p>
    <w:p w:rsidR="00D67E27" w:rsidRPr="005711A3" w:rsidRDefault="00D67E27" w:rsidP="00EA5DA0">
      <w:pPr>
        <w:spacing w:after="0" w:line="240" w:lineRule="auto"/>
        <w:ind w:firstLine="1418"/>
        <w:contextualSpacing/>
        <w:jc w:val="both"/>
        <w:rPr>
          <w:color w:val="0070C0"/>
          <w:sz w:val="30"/>
          <w:szCs w:val="30"/>
        </w:rPr>
      </w:pPr>
      <w:r>
        <w:rPr>
          <w:color w:val="0070C0"/>
          <w:sz w:val="30"/>
          <w:szCs w:val="30"/>
        </w:rPr>
        <w:t>подверглись трудовой эксплуатации</w:t>
      </w:r>
      <w:r w:rsidRPr="005711A3">
        <w:rPr>
          <w:color w:val="0070C0"/>
          <w:sz w:val="30"/>
          <w:szCs w:val="30"/>
        </w:rPr>
        <w:t xml:space="preserve"> – </w:t>
      </w:r>
      <w:r>
        <w:rPr>
          <w:color w:val="0070C0"/>
          <w:sz w:val="30"/>
          <w:szCs w:val="30"/>
        </w:rPr>
        <w:t>0</w:t>
      </w:r>
      <w:r w:rsidRPr="005711A3">
        <w:rPr>
          <w:color w:val="0070C0"/>
          <w:sz w:val="30"/>
          <w:szCs w:val="30"/>
        </w:rPr>
        <w:t>.</w:t>
      </w:r>
    </w:p>
    <w:p w:rsidR="00D67E27" w:rsidRPr="008F10B8" w:rsidRDefault="00D67E27" w:rsidP="00EA5DA0">
      <w:pPr>
        <w:spacing w:after="0" w:line="240" w:lineRule="auto"/>
        <w:contextualSpacing/>
        <w:jc w:val="both"/>
        <w:rPr>
          <w:sz w:val="30"/>
          <w:szCs w:val="30"/>
        </w:rPr>
      </w:pPr>
      <w:r>
        <w:rPr>
          <w:sz w:val="30"/>
          <w:szCs w:val="30"/>
        </w:rPr>
        <w:t>20</w:t>
      </w:r>
      <w:r w:rsidRPr="006E4372">
        <w:rPr>
          <w:sz w:val="30"/>
          <w:szCs w:val="30"/>
        </w:rPr>
        <w:t>10</w:t>
      </w:r>
      <w:r>
        <w:rPr>
          <w:sz w:val="30"/>
          <w:szCs w:val="30"/>
        </w:rPr>
        <w:t xml:space="preserve"> год </w:t>
      </w:r>
      <w:r w:rsidRPr="005711A3">
        <w:rPr>
          <w:sz w:val="30"/>
          <w:szCs w:val="30"/>
        </w:rPr>
        <w:t xml:space="preserve">– </w:t>
      </w:r>
      <w:r>
        <w:rPr>
          <w:sz w:val="30"/>
          <w:szCs w:val="30"/>
        </w:rPr>
        <w:t xml:space="preserve">26 </w:t>
      </w:r>
      <w:r w:rsidRPr="008F10B8">
        <w:rPr>
          <w:sz w:val="30"/>
          <w:szCs w:val="30"/>
        </w:rPr>
        <w:t>несовершеннолетних жертв (7,4%):</w:t>
      </w:r>
    </w:p>
    <w:p w:rsidR="00D67E27" w:rsidRPr="008F10B8" w:rsidRDefault="00D67E27" w:rsidP="00EA5DA0">
      <w:pPr>
        <w:spacing w:after="0" w:line="240" w:lineRule="auto"/>
        <w:ind w:firstLine="1400"/>
        <w:contextualSpacing/>
        <w:jc w:val="both"/>
        <w:rPr>
          <w:color w:val="00B050"/>
          <w:sz w:val="30"/>
          <w:szCs w:val="30"/>
        </w:rPr>
      </w:pPr>
      <w:r w:rsidRPr="008F10B8">
        <w:rPr>
          <w:color w:val="00B050"/>
          <w:sz w:val="30"/>
          <w:szCs w:val="30"/>
        </w:rPr>
        <w:t>подверглись сексуальной эксплуатации – 26,</w:t>
      </w:r>
    </w:p>
    <w:p w:rsidR="00D67E27" w:rsidRPr="008F10B8" w:rsidRDefault="00D67E27" w:rsidP="00EA5DA0">
      <w:pPr>
        <w:spacing w:after="0" w:line="240" w:lineRule="auto"/>
        <w:ind w:firstLine="1418"/>
        <w:contextualSpacing/>
        <w:jc w:val="both"/>
        <w:rPr>
          <w:color w:val="0070C0"/>
          <w:sz w:val="30"/>
          <w:szCs w:val="30"/>
        </w:rPr>
      </w:pPr>
      <w:r w:rsidRPr="008F10B8">
        <w:rPr>
          <w:color w:val="0070C0"/>
          <w:sz w:val="30"/>
          <w:szCs w:val="30"/>
        </w:rPr>
        <w:t>подверглись трудовой эксплуатации – 0.</w:t>
      </w:r>
    </w:p>
    <w:p w:rsidR="00D67E27" w:rsidRPr="008F10B8" w:rsidRDefault="00D67E27" w:rsidP="00EA5DA0">
      <w:pPr>
        <w:spacing w:after="0" w:line="240" w:lineRule="auto"/>
        <w:ind w:left="1418" w:hanging="1418"/>
        <w:contextualSpacing/>
        <w:jc w:val="both"/>
        <w:rPr>
          <w:sz w:val="30"/>
          <w:szCs w:val="30"/>
        </w:rPr>
      </w:pPr>
      <w:r>
        <w:rPr>
          <w:sz w:val="30"/>
          <w:szCs w:val="30"/>
        </w:rPr>
        <w:t xml:space="preserve">2011 год </w:t>
      </w:r>
      <w:r w:rsidRPr="008F10B8">
        <w:rPr>
          <w:sz w:val="30"/>
          <w:szCs w:val="30"/>
        </w:rPr>
        <w:t>–</w:t>
      </w:r>
      <w:r>
        <w:rPr>
          <w:sz w:val="30"/>
          <w:szCs w:val="30"/>
        </w:rPr>
        <w:t xml:space="preserve"> </w:t>
      </w:r>
      <w:r w:rsidRPr="008F10B8">
        <w:rPr>
          <w:sz w:val="30"/>
          <w:szCs w:val="30"/>
        </w:rPr>
        <w:t>2</w:t>
      </w:r>
      <w:r>
        <w:rPr>
          <w:sz w:val="30"/>
          <w:szCs w:val="30"/>
        </w:rPr>
        <w:t>2</w:t>
      </w:r>
      <w:r w:rsidRPr="008F10B8">
        <w:rPr>
          <w:sz w:val="30"/>
          <w:szCs w:val="30"/>
        </w:rPr>
        <w:t xml:space="preserve"> несовершеннолетн</w:t>
      </w:r>
      <w:r>
        <w:rPr>
          <w:sz w:val="30"/>
          <w:szCs w:val="30"/>
        </w:rPr>
        <w:t>ие</w:t>
      </w:r>
      <w:r w:rsidRPr="008F10B8">
        <w:rPr>
          <w:sz w:val="30"/>
          <w:szCs w:val="30"/>
        </w:rPr>
        <w:t xml:space="preserve"> жертв</w:t>
      </w:r>
      <w:r>
        <w:rPr>
          <w:sz w:val="30"/>
          <w:szCs w:val="30"/>
        </w:rPr>
        <w:t>ы</w:t>
      </w:r>
      <w:r w:rsidRPr="008F10B8">
        <w:rPr>
          <w:sz w:val="30"/>
          <w:szCs w:val="30"/>
        </w:rPr>
        <w:t xml:space="preserve"> (</w:t>
      </w:r>
      <w:r>
        <w:rPr>
          <w:sz w:val="30"/>
          <w:szCs w:val="30"/>
        </w:rPr>
        <w:t>7</w:t>
      </w:r>
      <w:r w:rsidRPr="008F10B8">
        <w:rPr>
          <w:sz w:val="30"/>
          <w:szCs w:val="30"/>
        </w:rPr>
        <w:t>,</w:t>
      </w:r>
      <w:r>
        <w:rPr>
          <w:sz w:val="30"/>
          <w:szCs w:val="30"/>
        </w:rPr>
        <w:t>5</w:t>
      </w:r>
      <w:r w:rsidRPr="008F10B8">
        <w:rPr>
          <w:sz w:val="30"/>
          <w:szCs w:val="30"/>
        </w:rPr>
        <w:t>%):</w:t>
      </w:r>
    </w:p>
    <w:p w:rsidR="00D67E27" w:rsidRPr="008F10B8" w:rsidRDefault="00D67E27" w:rsidP="00EA5DA0">
      <w:pPr>
        <w:spacing w:after="0" w:line="240" w:lineRule="auto"/>
        <w:ind w:firstLine="1400"/>
        <w:contextualSpacing/>
        <w:jc w:val="both"/>
        <w:rPr>
          <w:color w:val="00B050"/>
          <w:sz w:val="30"/>
          <w:szCs w:val="30"/>
        </w:rPr>
      </w:pPr>
      <w:r w:rsidRPr="008F10B8">
        <w:rPr>
          <w:color w:val="00B050"/>
          <w:sz w:val="30"/>
          <w:szCs w:val="30"/>
        </w:rPr>
        <w:t>подверглись сексуальной эксплуатации – 2</w:t>
      </w:r>
      <w:r>
        <w:rPr>
          <w:color w:val="00B050"/>
          <w:sz w:val="30"/>
          <w:szCs w:val="30"/>
        </w:rPr>
        <w:t>2</w:t>
      </w:r>
      <w:r w:rsidRPr="008F10B8">
        <w:rPr>
          <w:color w:val="00B050"/>
          <w:sz w:val="30"/>
          <w:szCs w:val="30"/>
        </w:rPr>
        <w:t>,</w:t>
      </w:r>
    </w:p>
    <w:p w:rsidR="00D67E27" w:rsidRPr="0011487D" w:rsidRDefault="00D67E27" w:rsidP="00EA5DA0">
      <w:pPr>
        <w:spacing w:after="0" w:line="240" w:lineRule="auto"/>
        <w:ind w:firstLine="1418"/>
        <w:contextualSpacing/>
        <w:jc w:val="both"/>
        <w:rPr>
          <w:color w:val="0070C0"/>
          <w:sz w:val="30"/>
          <w:szCs w:val="30"/>
        </w:rPr>
      </w:pPr>
      <w:r w:rsidRPr="008F10B8">
        <w:rPr>
          <w:color w:val="0070C0"/>
          <w:sz w:val="30"/>
          <w:szCs w:val="30"/>
        </w:rPr>
        <w:t>подверглись трудовой эксплуатации – 0.</w:t>
      </w:r>
    </w:p>
    <w:p w:rsidR="00D67E27" w:rsidRPr="008F10B8" w:rsidRDefault="00D67E27" w:rsidP="00EA5DA0">
      <w:pPr>
        <w:spacing w:after="0" w:line="240" w:lineRule="auto"/>
        <w:ind w:left="1418" w:hanging="1418"/>
        <w:contextualSpacing/>
        <w:jc w:val="both"/>
        <w:rPr>
          <w:sz w:val="30"/>
          <w:szCs w:val="30"/>
        </w:rPr>
      </w:pPr>
      <w:r>
        <w:rPr>
          <w:sz w:val="30"/>
          <w:szCs w:val="30"/>
        </w:rPr>
        <w:t xml:space="preserve">2012 год </w:t>
      </w:r>
      <w:r w:rsidRPr="008F10B8">
        <w:rPr>
          <w:sz w:val="30"/>
          <w:szCs w:val="30"/>
        </w:rPr>
        <w:t>–</w:t>
      </w:r>
      <w:r>
        <w:rPr>
          <w:sz w:val="30"/>
          <w:szCs w:val="30"/>
        </w:rPr>
        <w:t xml:space="preserve"> 45</w:t>
      </w:r>
      <w:r w:rsidRPr="008F10B8">
        <w:rPr>
          <w:sz w:val="30"/>
          <w:szCs w:val="30"/>
        </w:rPr>
        <w:t xml:space="preserve"> несовершеннолетн</w:t>
      </w:r>
      <w:r>
        <w:rPr>
          <w:sz w:val="30"/>
          <w:szCs w:val="30"/>
        </w:rPr>
        <w:t>их</w:t>
      </w:r>
      <w:r w:rsidRPr="008F10B8">
        <w:rPr>
          <w:sz w:val="30"/>
          <w:szCs w:val="30"/>
        </w:rPr>
        <w:t xml:space="preserve"> жертв (</w:t>
      </w:r>
      <w:r>
        <w:rPr>
          <w:sz w:val="30"/>
          <w:szCs w:val="30"/>
        </w:rPr>
        <w:t>21,5</w:t>
      </w:r>
      <w:r w:rsidRPr="008F10B8">
        <w:rPr>
          <w:sz w:val="30"/>
          <w:szCs w:val="30"/>
        </w:rPr>
        <w:t>%):</w:t>
      </w:r>
    </w:p>
    <w:p w:rsidR="00D67E27" w:rsidRDefault="00D67E27" w:rsidP="00EA5DA0">
      <w:pPr>
        <w:spacing w:after="0" w:line="240" w:lineRule="auto"/>
        <w:ind w:firstLine="1400"/>
        <w:contextualSpacing/>
        <w:jc w:val="both"/>
        <w:rPr>
          <w:color w:val="00B050"/>
          <w:sz w:val="30"/>
          <w:szCs w:val="30"/>
        </w:rPr>
      </w:pPr>
      <w:r w:rsidRPr="008F10B8">
        <w:rPr>
          <w:color w:val="00B050"/>
          <w:sz w:val="30"/>
          <w:szCs w:val="30"/>
        </w:rPr>
        <w:t xml:space="preserve">подверглись сексуальной эксплуатации – </w:t>
      </w:r>
      <w:r>
        <w:rPr>
          <w:color w:val="00B050"/>
          <w:sz w:val="30"/>
          <w:szCs w:val="30"/>
        </w:rPr>
        <w:t>45</w:t>
      </w:r>
      <w:r w:rsidRPr="008F10B8">
        <w:rPr>
          <w:color w:val="00B050"/>
          <w:sz w:val="30"/>
          <w:szCs w:val="30"/>
        </w:rPr>
        <w:t>,</w:t>
      </w:r>
    </w:p>
    <w:p w:rsidR="00D67E27" w:rsidRPr="00920F86" w:rsidRDefault="00D67E27" w:rsidP="00EA5DA0">
      <w:pPr>
        <w:spacing w:after="0" w:line="240" w:lineRule="auto"/>
        <w:ind w:right="-426" w:firstLine="1400"/>
        <w:contextualSpacing/>
        <w:jc w:val="both"/>
        <w:rPr>
          <w:color w:val="7030A0"/>
          <w:sz w:val="30"/>
          <w:szCs w:val="30"/>
        </w:rPr>
      </w:pPr>
      <w:r w:rsidRPr="00920F86">
        <w:rPr>
          <w:color w:val="7030A0"/>
          <w:sz w:val="30"/>
          <w:szCs w:val="30"/>
        </w:rPr>
        <w:t xml:space="preserve">из них </w:t>
      </w:r>
      <w:r>
        <w:rPr>
          <w:color w:val="7030A0"/>
          <w:sz w:val="30"/>
          <w:szCs w:val="30"/>
        </w:rPr>
        <w:t xml:space="preserve">33 (в т.ч. 8 </w:t>
      </w:r>
      <w:r w:rsidRPr="00920F86">
        <w:rPr>
          <w:color w:val="7030A0"/>
          <w:sz w:val="30"/>
          <w:szCs w:val="30"/>
        </w:rPr>
        <w:t>малолетни</w:t>
      </w:r>
      <w:r>
        <w:rPr>
          <w:color w:val="7030A0"/>
          <w:sz w:val="30"/>
          <w:szCs w:val="30"/>
        </w:rPr>
        <w:t>х</w:t>
      </w:r>
      <w:r w:rsidRPr="00920F86">
        <w:rPr>
          <w:color w:val="7030A0"/>
          <w:sz w:val="30"/>
          <w:szCs w:val="30"/>
        </w:rPr>
        <w:t xml:space="preserve">) пострадали </w:t>
      </w:r>
      <w:r>
        <w:rPr>
          <w:color w:val="7030A0"/>
          <w:sz w:val="30"/>
          <w:szCs w:val="30"/>
        </w:rPr>
        <w:t xml:space="preserve">при </w:t>
      </w:r>
      <w:proofErr w:type="spellStart"/>
      <w:r>
        <w:rPr>
          <w:color w:val="7030A0"/>
          <w:sz w:val="30"/>
          <w:szCs w:val="30"/>
        </w:rPr>
        <w:t>порносъемках</w:t>
      </w:r>
      <w:proofErr w:type="spellEnd"/>
      <w:r>
        <w:rPr>
          <w:color w:val="7030A0"/>
          <w:sz w:val="30"/>
          <w:szCs w:val="30"/>
        </w:rPr>
        <w:t>,</w:t>
      </w:r>
    </w:p>
    <w:p w:rsidR="00D67E27" w:rsidRPr="0011487D" w:rsidRDefault="00D67E27" w:rsidP="00EA5DA0">
      <w:pPr>
        <w:spacing w:after="0" w:line="240" w:lineRule="auto"/>
        <w:ind w:firstLine="1418"/>
        <w:contextualSpacing/>
        <w:jc w:val="both"/>
        <w:rPr>
          <w:color w:val="0070C0"/>
          <w:sz w:val="30"/>
          <w:szCs w:val="30"/>
        </w:rPr>
      </w:pPr>
      <w:r w:rsidRPr="008F10B8">
        <w:rPr>
          <w:color w:val="0070C0"/>
          <w:sz w:val="30"/>
          <w:szCs w:val="30"/>
        </w:rPr>
        <w:t>подверглись трудовой эксплуатации – 0.</w:t>
      </w:r>
    </w:p>
    <w:p w:rsidR="00D67E27" w:rsidRPr="008F10B8" w:rsidRDefault="00D67E27" w:rsidP="00EA5DA0">
      <w:pPr>
        <w:spacing w:after="0" w:line="240" w:lineRule="auto"/>
        <w:ind w:left="1418" w:hanging="1418"/>
        <w:contextualSpacing/>
        <w:jc w:val="both"/>
        <w:rPr>
          <w:sz w:val="30"/>
          <w:szCs w:val="30"/>
        </w:rPr>
      </w:pPr>
      <w:r>
        <w:rPr>
          <w:sz w:val="30"/>
          <w:szCs w:val="30"/>
        </w:rPr>
        <w:t xml:space="preserve">2013 год </w:t>
      </w:r>
      <w:r w:rsidRPr="008F10B8">
        <w:rPr>
          <w:sz w:val="30"/>
          <w:szCs w:val="30"/>
        </w:rPr>
        <w:t>–</w:t>
      </w:r>
      <w:r>
        <w:rPr>
          <w:sz w:val="30"/>
          <w:szCs w:val="30"/>
        </w:rPr>
        <w:t xml:space="preserve"> 14</w:t>
      </w:r>
      <w:r w:rsidRPr="008F10B8">
        <w:rPr>
          <w:sz w:val="30"/>
          <w:szCs w:val="30"/>
        </w:rPr>
        <w:t xml:space="preserve"> несовершеннолетн</w:t>
      </w:r>
      <w:r>
        <w:rPr>
          <w:sz w:val="30"/>
          <w:szCs w:val="30"/>
        </w:rPr>
        <w:t>их</w:t>
      </w:r>
      <w:r w:rsidRPr="008F10B8">
        <w:rPr>
          <w:sz w:val="30"/>
          <w:szCs w:val="30"/>
        </w:rPr>
        <w:t xml:space="preserve"> жертв (</w:t>
      </w:r>
      <w:r>
        <w:rPr>
          <w:sz w:val="30"/>
          <w:szCs w:val="30"/>
        </w:rPr>
        <w:t>9,4</w:t>
      </w:r>
      <w:r w:rsidRPr="008F10B8">
        <w:rPr>
          <w:sz w:val="30"/>
          <w:szCs w:val="30"/>
        </w:rPr>
        <w:t>%):</w:t>
      </w:r>
    </w:p>
    <w:p w:rsidR="00D67E27" w:rsidRDefault="00D67E27" w:rsidP="00EA5DA0">
      <w:pPr>
        <w:spacing w:after="0" w:line="240" w:lineRule="auto"/>
        <w:ind w:firstLine="1400"/>
        <w:contextualSpacing/>
        <w:jc w:val="both"/>
        <w:rPr>
          <w:color w:val="00B050"/>
          <w:sz w:val="30"/>
          <w:szCs w:val="30"/>
        </w:rPr>
      </w:pPr>
      <w:r w:rsidRPr="008F10B8">
        <w:rPr>
          <w:color w:val="00B050"/>
          <w:sz w:val="30"/>
          <w:szCs w:val="30"/>
        </w:rPr>
        <w:lastRenderedPageBreak/>
        <w:t xml:space="preserve">подверглись сексуальной эксплуатации – </w:t>
      </w:r>
      <w:r>
        <w:rPr>
          <w:color w:val="00B050"/>
          <w:sz w:val="30"/>
          <w:szCs w:val="30"/>
        </w:rPr>
        <w:t>14</w:t>
      </w:r>
      <w:r w:rsidRPr="008F10B8">
        <w:rPr>
          <w:color w:val="00B050"/>
          <w:sz w:val="30"/>
          <w:szCs w:val="30"/>
        </w:rPr>
        <w:t>,</w:t>
      </w:r>
    </w:p>
    <w:p w:rsidR="00D67E27" w:rsidRPr="00920F86" w:rsidRDefault="00D67E27" w:rsidP="00EA5DA0">
      <w:pPr>
        <w:spacing w:after="0" w:line="240" w:lineRule="auto"/>
        <w:ind w:right="-426" w:firstLine="1400"/>
        <w:contextualSpacing/>
        <w:jc w:val="both"/>
        <w:rPr>
          <w:color w:val="7030A0"/>
          <w:sz w:val="30"/>
          <w:szCs w:val="30"/>
        </w:rPr>
      </w:pPr>
      <w:r w:rsidRPr="00920F86">
        <w:rPr>
          <w:color w:val="7030A0"/>
          <w:sz w:val="30"/>
          <w:szCs w:val="30"/>
        </w:rPr>
        <w:t xml:space="preserve">из них </w:t>
      </w:r>
      <w:r>
        <w:rPr>
          <w:color w:val="7030A0"/>
          <w:sz w:val="30"/>
          <w:szCs w:val="30"/>
        </w:rPr>
        <w:t xml:space="preserve">10 (в т.ч. 7 </w:t>
      </w:r>
      <w:r w:rsidRPr="00920F86">
        <w:rPr>
          <w:color w:val="7030A0"/>
          <w:sz w:val="30"/>
          <w:szCs w:val="30"/>
        </w:rPr>
        <w:t>малолетни</w:t>
      </w:r>
      <w:r>
        <w:rPr>
          <w:color w:val="7030A0"/>
          <w:sz w:val="30"/>
          <w:szCs w:val="30"/>
        </w:rPr>
        <w:t>х</w:t>
      </w:r>
      <w:r w:rsidRPr="00920F86">
        <w:rPr>
          <w:color w:val="7030A0"/>
          <w:sz w:val="30"/>
          <w:szCs w:val="30"/>
        </w:rPr>
        <w:t xml:space="preserve">) пострадали </w:t>
      </w:r>
      <w:r>
        <w:rPr>
          <w:color w:val="7030A0"/>
          <w:sz w:val="30"/>
          <w:szCs w:val="30"/>
        </w:rPr>
        <w:t xml:space="preserve">при </w:t>
      </w:r>
      <w:proofErr w:type="spellStart"/>
      <w:r>
        <w:rPr>
          <w:color w:val="7030A0"/>
          <w:sz w:val="30"/>
          <w:szCs w:val="30"/>
        </w:rPr>
        <w:t>порносъемках</w:t>
      </w:r>
      <w:proofErr w:type="spellEnd"/>
      <w:r>
        <w:rPr>
          <w:color w:val="7030A0"/>
          <w:sz w:val="30"/>
          <w:szCs w:val="30"/>
        </w:rPr>
        <w:t>,</w:t>
      </w:r>
    </w:p>
    <w:p w:rsidR="00D67E27" w:rsidRPr="0011487D" w:rsidRDefault="00D67E27" w:rsidP="00EA5DA0">
      <w:pPr>
        <w:spacing w:after="0" w:line="240" w:lineRule="auto"/>
        <w:ind w:firstLine="1418"/>
        <w:contextualSpacing/>
        <w:jc w:val="both"/>
        <w:rPr>
          <w:color w:val="0070C0"/>
          <w:sz w:val="30"/>
          <w:szCs w:val="30"/>
        </w:rPr>
      </w:pPr>
      <w:r w:rsidRPr="008F10B8">
        <w:rPr>
          <w:color w:val="0070C0"/>
          <w:sz w:val="30"/>
          <w:szCs w:val="30"/>
        </w:rPr>
        <w:t>подверглись трудовой эксплуатации – 0.</w:t>
      </w:r>
    </w:p>
    <w:p w:rsidR="00D67E27" w:rsidRPr="008F10B8" w:rsidRDefault="00D67E27" w:rsidP="00EA5DA0">
      <w:pPr>
        <w:spacing w:after="0" w:line="240" w:lineRule="auto"/>
        <w:ind w:left="1418" w:hanging="1418"/>
        <w:contextualSpacing/>
        <w:jc w:val="both"/>
        <w:rPr>
          <w:sz w:val="30"/>
          <w:szCs w:val="30"/>
        </w:rPr>
      </w:pPr>
      <w:r>
        <w:rPr>
          <w:sz w:val="30"/>
          <w:szCs w:val="30"/>
        </w:rPr>
        <w:t xml:space="preserve">2014 год </w:t>
      </w:r>
      <w:r w:rsidRPr="008F10B8">
        <w:rPr>
          <w:sz w:val="30"/>
          <w:szCs w:val="30"/>
        </w:rPr>
        <w:t>–</w:t>
      </w:r>
      <w:r>
        <w:rPr>
          <w:sz w:val="30"/>
          <w:szCs w:val="30"/>
        </w:rPr>
        <w:t xml:space="preserve"> 12</w:t>
      </w:r>
      <w:r w:rsidRPr="008F10B8">
        <w:rPr>
          <w:sz w:val="30"/>
          <w:szCs w:val="30"/>
        </w:rPr>
        <w:t xml:space="preserve"> несовершеннолетн</w:t>
      </w:r>
      <w:r>
        <w:rPr>
          <w:sz w:val="30"/>
          <w:szCs w:val="30"/>
        </w:rPr>
        <w:t>их</w:t>
      </w:r>
      <w:r w:rsidRPr="008F10B8">
        <w:rPr>
          <w:sz w:val="30"/>
          <w:szCs w:val="30"/>
        </w:rPr>
        <w:t xml:space="preserve"> жертв (</w:t>
      </w:r>
      <w:r>
        <w:rPr>
          <w:sz w:val="30"/>
          <w:szCs w:val="30"/>
        </w:rPr>
        <w:t>12,4</w:t>
      </w:r>
      <w:r w:rsidRPr="008F10B8">
        <w:rPr>
          <w:sz w:val="30"/>
          <w:szCs w:val="30"/>
        </w:rPr>
        <w:t>%):</w:t>
      </w:r>
    </w:p>
    <w:p w:rsidR="00D67E27" w:rsidRDefault="00D67E27" w:rsidP="00EA5DA0">
      <w:pPr>
        <w:spacing w:after="0" w:line="240" w:lineRule="auto"/>
        <w:ind w:firstLine="1400"/>
        <w:contextualSpacing/>
        <w:jc w:val="both"/>
        <w:rPr>
          <w:color w:val="00B050"/>
          <w:sz w:val="30"/>
          <w:szCs w:val="30"/>
        </w:rPr>
      </w:pPr>
      <w:r w:rsidRPr="008F10B8">
        <w:rPr>
          <w:color w:val="00B050"/>
          <w:sz w:val="30"/>
          <w:szCs w:val="30"/>
        </w:rPr>
        <w:t xml:space="preserve">подверглись сексуальной эксплуатации – </w:t>
      </w:r>
      <w:r>
        <w:rPr>
          <w:color w:val="00B050"/>
          <w:sz w:val="30"/>
          <w:szCs w:val="30"/>
        </w:rPr>
        <w:t>12</w:t>
      </w:r>
      <w:r w:rsidRPr="008F10B8">
        <w:rPr>
          <w:color w:val="00B050"/>
          <w:sz w:val="30"/>
          <w:szCs w:val="30"/>
        </w:rPr>
        <w:t>,</w:t>
      </w:r>
    </w:p>
    <w:p w:rsidR="00D67E27" w:rsidRPr="00920F86" w:rsidRDefault="00D67E27" w:rsidP="00EA5DA0">
      <w:pPr>
        <w:spacing w:after="0" w:line="240" w:lineRule="auto"/>
        <w:ind w:right="-426" w:firstLine="1400"/>
        <w:contextualSpacing/>
        <w:jc w:val="both"/>
        <w:rPr>
          <w:color w:val="7030A0"/>
          <w:sz w:val="30"/>
          <w:szCs w:val="30"/>
        </w:rPr>
      </w:pPr>
      <w:r w:rsidRPr="00920F86">
        <w:rPr>
          <w:color w:val="7030A0"/>
          <w:sz w:val="30"/>
          <w:szCs w:val="30"/>
        </w:rPr>
        <w:t xml:space="preserve">из них </w:t>
      </w:r>
      <w:r>
        <w:rPr>
          <w:color w:val="7030A0"/>
          <w:sz w:val="30"/>
          <w:szCs w:val="30"/>
        </w:rPr>
        <w:t xml:space="preserve">8 (в т.ч. 7 </w:t>
      </w:r>
      <w:r w:rsidRPr="00920F86">
        <w:rPr>
          <w:color w:val="7030A0"/>
          <w:sz w:val="30"/>
          <w:szCs w:val="30"/>
        </w:rPr>
        <w:t>малолетн</w:t>
      </w:r>
      <w:r>
        <w:rPr>
          <w:color w:val="7030A0"/>
          <w:sz w:val="30"/>
          <w:szCs w:val="30"/>
        </w:rPr>
        <w:t>их</w:t>
      </w:r>
      <w:r w:rsidRPr="00920F86">
        <w:rPr>
          <w:color w:val="7030A0"/>
          <w:sz w:val="30"/>
          <w:szCs w:val="30"/>
        </w:rPr>
        <w:t>) пострадал</w:t>
      </w:r>
      <w:r>
        <w:rPr>
          <w:color w:val="7030A0"/>
          <w:sz w:val="30"/>
          <w:szCs w:val="30"/>
        </w:rPr>
        <w:t>и</w:t>
      </w:r>
      <w:r w:rsidRPr="00920F86">
        <w:rPr>
          <w:color w:val="7030A0"/>
          <w:sz w:val="30"/>
          <w:szCs w:val="30"/>
        </w:rPr>
        <w:t xml:space="preserve"> </w:t>
      </w:r>
      <w:r>
        <w:rPr>
          <w:color w:val="7030A0"/>
          <w:sz w:val="30"/>
          <w:szCs w:val="30"/>
        </w:rPr>
        <w:t xml:space="preserve">при </w:t>
      </w:r>
      <w:proofErr w:type="spellStart"/>
      <w:r>
        <w:rPr>
          <w:color w:val="7030A0"/>
          <w:sz w:val="30"/>
          <w:szCs w:val="30"/>
        </w:rPr>
        <w:t>порносъемках</w:t>
      </w:r>
      <w:proofErr w:type="spellEnd"/>
      <w:r>
        <w:rPr>
          <w:color w:val="7030A0"/>
          <w:sz w:val="30"/>
          <w:szCs w:val="30"/>
        </w:rPr>
        <w:t>,</w:t>
      </w:r>
    </w:p>
    <w:p w:rsidR="00D67E27" w:rsidRPr="0011487D" w:rsidRDefault="00D67E27" w:rsidP="00EA5DA0">
      <w:pPr>
        <w:spacing w:after="0" w:line="240" w:lineRule="auto"/>
        <w:ind w:firstLine="1418"/>
        <w:contextualSpacing/>
        <w:jc w:val="both"/>
        <w:rPr>
          <w:color w:val="0070C0"/>
          <w:sz w:val="30"/>
          <w:szCs w:val="30"/>
        </w:rPr>
      </w:pPr>
      <w:r w:rsidRPr="008F10B8">
        <w:rPr>
          <w:color w:val="0070C0"/>
          <w:sz w:val="30"/>
          <w:szCs w:val="30"/>
        </w:rPr>
        <w:t>подверглись трудовой эксплуатации – 0.</w:t>
      </w:r>
    </w:p>
    <w:p w:rsidR="00D67E27" w:rsidRPr="0011487D" w:rsidRDefault="00D67E27" w:rsidP="00EA5DA0">
      <w:pPr>
        <w:spacing w:after="0" w:line="240" w:lineRule="auto"/>
        <w:contextualSpacing/>
        <w:jc w:val="both"/>
        <w:rPr>
          <w:sz w:val="30"/>
          <w:szCs w:val="30"/>
        </w:rPr>
      </w:pPr>
    </w:p>
    <w:p w:rsidR="00D67E27" w:rsidRPr="00B26789" w:rsidRDefault="00D67E27" w:rsidP="00EA5DA0">
      <w:pPr>
        <w:spacing w:after="0" w:line="240" w:lineRule="auto"/>
        <w:contextualSpacing/>
        <w:jc w:val="both"/>
        <w:rPr>
          <w:b/>
          <w:color w:val="FF0000"/>
          <w:sz w:val="30"/>
          <w:szCs w:val="30"/>
        </w:rPr>
      </w:pPr>
      <w:r w:rsidRPr="0011487D">
        <w:rPr>
          <w:b/>
          <w:color w:val="FF0000"/>
          <w:sz w:val="30"/>
          <w:szCs w:val="30"/>
          <w:u w:val="single"/>
        </w:rPr>
        <w:t>ИТОГО</w:t>
      </w:r>
      <w:r w:rsidRPr="0011487D">
        <w:rPr>
          <w:b/>
          <w:color w:val="FF0000"/>
          <w:sz w:val="30"/>
          <w:szCs w:val="30"/>
        </w:rPr>
        <w:t xml:space="preserve"> – </w:t>
      </w:r>
      <w:r>
        <w:rPr>
          <w:b/>
          <w:color w:val="FF0000"/>
          <w:sz w:val="30"/>
          <w:szCs w:val="30"/>
        </w:rPr>
        <w:t xml:space="preserve">563 </w:t>
      </w:r>
      <w:r w:rsidRPr="004E0FE6">
        <w:rPr>
          <w:b/>
          <w:color w:val="FF0000"/>
          <w:sz w:val="30"/>
          <w:szCs w:val="30"/>
        </w:rPr>
        <w:t>несовершеннолетн</w:t>
      </w:r>
      <w:r>
        <w:rPr>
          <w:b/>
          <w:color w:val="FF0000"/>
          <w:sz w:val="30"/>
          <w:szCs w:val="30"/>
        </w:rPr>
        <w:t xml:space="preserve">ие </w:t>
      </w:r>
      <w:r w:rsidRPr="00B26789">
        <w:rPr>
          <w:b/>
          <w:color w:val="FF0000"/>
          <w:sz w:val="30"/>
          <w:szCs w:val="30"/>
        </w:rPr>
        <w:t>жертв</w:t>
      </w:r>
      <w:r>
        <w:rPr>
          <w:b/>
          <w:color w:val="FF0000"/>
          <w:sz w:val="30"/>
          <w:szCs w:val="30"/>
        </w:rPr>
        <w:t>ы</w:t>
      </w:r>
      <w:r w:rsidRPr="00B26789">
        <w:rPr>
          <w:b/>
          <w:color w:val="FF0000"/>
          <w:sz w:val="30"/>
          <w:szCs w:val="30"/>
        </w:rPr>
        <w:t xml:space="preserve"> (1</w:t>
      </w:r>
      <w:r>
        <w:rPr>
          <w:b/>
          <w:color w:val="FF0000"/>
          <w:sz w:val="30"/>
          <w:szCs w:val="30"/>
        </w:rPr>
        <w:t>1</w:t>
      </w:r>
      <w:r w:rsidRPr="00B26789">
        <w:rPr>
          <w:b/>
          <w:color w:val="FF0000"/>
          <w:sz w:val="30"/>
          <w:szCs w:val="30"/>
        </w:rPr>
        <w:t>%):</w:t>
      </w:r>
    </w:p>
    <w:p w:rsidR="00D67E27" w:rsidRPr="004E0FE6" w:rsidRDefault="00D67E27" w:rsidP="00EA5DA0">
      <w:pPr>
        <w:spacing w:after="0" w:line="240" w:lineRule="auto"/>
        <w:ind w:firstLine="1400"/>
        <w:contextualSpacing/>
        <w:jc w:val="both"/>
        <w:rPr>
          <w:b/>
          <w:color w:val="00B050"/>
          <w:sz w:val="30"/>
          <w:szCs w:val="30"/>
        </w:rPr>
      </w:pPr>
      <w:r w:rsidRPr="00B26789">
        <w:rPr>
          <w:b/>
          <w:color w:val="00B050"/>
          <w:sz w:val="30"/>
          <w:szCs w:val="30"/>
        </w:rPr>
        <w:t>подверглись сексуальной эксплуатации</w:t>
      </w:r>
      <w:r w:rsidRPr="004E0FE6">
        <w:rPr>
          <w:b/>
          <w:color w:val="00B050"/>
          <w:sz w:val="30"/>
          <w:szCs w:val="30"/>
        </w:rPr>
        <w:t xml:space="preserve"> – 5</w:t>
      </w:r>
      <w:r>
        <w:rPr>
          <w:b/>
          <w:color w:val="00B050"/>
          <w:sz w:val="30"/>
          <w:szCs w:val="30"/>
        </w:rPr>
        <w:t>56</w:t>
      </w:r>
      <w:r w:rsidRPr="004E0FE6">
        <w:rPr>
          <w:b/>
          <w:color w:val="00B050"/>
          <w:sz w:val="30"/>
          <w:szCs w:val="30"/>
        </w:rPr>
        <w:t>,</w:t>
      </w:r>
    </w:p>
    <w:p w:rsidR="00D67E27" w:rsidRPr="00FD15C3" w:rsidRDefault="00D67E27" w:rsidP="00EA5DA0">
      <w:pPr>
        <w:spacing w:after="0" w:line="240" w:lineRule="auto"/>
        <w:ind w:firstLine="1418"/>
        <w:contextualSpacing/>
        <w:jc w:val="both"/>
        <w:rPr>
          <w:b/>
          <w:color w:val="7030A0"/>
        </w:rPr>
      </w:pPr>
      <w:proofErr w:type="gramStart"/>
      <w:r w:rsidRPr="004E0FE6">
        <w:rPr>
          <w:b/>
          <w:color w:val="7030A0"/>
        </w:rPr>
        <w:t xml:space="preserve">из них </w:t>
      </w:r>
      <w:r>
        <w:rPr>
          <w:b/>
          <w:color w:val="7030A0"/>
        </w:rPr>
        <w:t>51</w:t>
      </w:r>
      <w:r w:rsidRPr="004E0FE6">
        <w:rPr>
          <w:b/>
          <w:color w:val="7030A0"/>
        </w:rPr>
        <w:t xml:space="preserve"> (в т.ч. </w:t>
      </w:r>
      <w:r>
        <w:rPr>
          <w:b/>
          <w:color w:val="7030A0"/>
        </w:rPr>
        <w:t>22</w:t>
      </w:r>
      <w:r w:rsidRPr="004E0FE6">
        <w:rPr>
          <w:b/>
          <w:color w:val="7030A0"/>
        </w:rPr>
        <w:t xml:space="preserve"> малолетн</w:t>
      </w:r>
      <w:r>
        <w:rPr>
          <w:b/>
          <w:color w:val="7030A0"/>
        </w:rPr>
        <w:t>ие</w:t>
      </w:r>
      <w:r w:rsidRPr="004E0FE6">
        <w:rPr>
          <w:b/>
          <w:color w:val="7030A0"/>
        </w:rPr>
        <w:t>) пострадали</w:t>
      </w:r>
      <w:r w:rsidRPr="00FD15C3">
        <w:rPr>
          <w:b/>
          <w:color w:val="7030A0"/>
        </w:rPr>
        <w:t xml:space="preserve"> при </w:t>
      </w:r>
      <w:proofErr w:type="spellStart"/>
      <w:r w:rsidRPr="00FD15C3">
        <w:rPr>
          <w:b/>
          <w:color w:val="7030A0"/>
        </w:rPr>
        <w:t>порносъемках</w:t>
      </w:r>
      <w:proofErr w:type="spellEnd"/>
      <w:r>
        <w:rPr>
          <w:b/>
          <w:color w:val="7030A0"/>
        </w:rPr>
        <w:t>;</w:t>
      </w:r>
      <w:proofErr w:type="gramEnd"/>
    </w:p>
    <w:p w:rsidR="00D67E27" w:rsidRDefault="00D67E27" w:rsidP="00EA5DA0">
      <w:pPr>
        <w:spacing w:after="0" w:line="240" w:lineRule="auto"/>
        <w:ind w:firstLine="1418"/>
        <w:contextualSpacing/>
        <w:jc w:val="both"/>
        <w:rPr>
          <w:b/>
          <w:color w:val="0070C0"/>
          <w:sz w:val="30"/>
          <w:szCs w:val="30"/>
        </w:rPr>
      </w:pPr>
      <w:r w:rsidRPr="003E2B7A">
        <w:rPr>
          <w:b/>
          <w:color w:val="0070C0"/>
          <w:sz w:val="30"/>
          <w:szCs w:val="30"/>
        </w:rPr>
        <w:t>подверглись трудовой эксплуатации</w:t>
      </w:r>
      <w:r w:rsidRPr="0011487D">
        <w:rPr>
          <w:b/>
          <w:color w:val="0070C0"/>
          <w:sz w:val="30"/>
          <w:szCs w:val="30"/>
        </w:rPr>
        <w:t xml:space="preserve"> – 7</w:t>
      </w:r>
      <w:r>
        <w:rPr>
          <w:b/>
          <w:color w:val="0070C0"/>
          <w:sz w:val="30"/>
          <w:szCs w:val="30"/>
        </w:rPr>
        <w:t>.</w:t>
      </w:r>
    </w:p>
    <w:p w:rsidR="00D67E27" w:rsidRDefault="00D67E27" w:rsidP="00EA5DA0">
      <w:pPr>
        <w:spacing w:after="0" w:line="240" w:lineRule="auto"/>
        <w:contextualSpacing/>
        <w:jc w:val="both"/>
        <w:rPr>
          <w:b/>
          <w:sz w:val="30"/>
          <w:szCs w:val="30"/>
          <w:u w:val="single"/>
        </w:rPr>
      </w:pPr>
      <w:r w:rsidRPr="00497175">
        <w:rPr>
          <w:b/>
          <w:sz w:val="30"/>
          <w:szCs w:val="30"/>
          <w:u w:val="single"/>
        </w:rPr>
        <w:t xml:space="preserve">Т А Б Л И </w:t>
      </w:r>
      <w:proofErr w:type="gramStart"/>
      <w:r w:rsidRPr="00497175">
        <w:rPr>
          <w:b/>
          <w:sz w:val="30"/>
          <w:szCs w:val="30"/>
          <w:u w:val="single"/>
        </w:rPr>
        <w:t>Ц</w:t>
      </w:r>
      <w:proofErr w:type="gramEnd"/>
      <w:r w:rsidRPr="00497175">
        <w:rPr>
          <w:b/>
          <w:sz w:val="30"/>
          <w:szCs w:val="30"/>
          <w:u w:val="single"/>
        </w:rPr>
        <w:t xml:space="preserve"> А</w:t>
      </w:r>
    </w:p>
    <w:p w:rsidR="00D67E27" w:rsidRPr="00497175" w:rsidRDefault="00D67E27" w:rsidP="00EA5DA0">
      <w:pPr>
        <w:spacing w:after="0" w:line="240" w:lineRule="auto"/>
        <w:contextualSpacing/>
        <w:jc w:val="both"/>
        <w:rPr>
          <w:b/>
          <w:sz w:val="30"/>
          <w:szCs w:val="30"/>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835"/>
        <w:gridCol w:w="2693"/>
        <w:gridCol w:w="2658"/>
      </w:tblGrid>
      <w:tr w:rsidR="00D67E27" w:rsidRPr="000413EC" w:rsidTr="00273718">
        <w:tc>
          <w:tcPr>
            <w:tcW w:w="166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Год</w:t>
            </w:r>
          </w:p>
        </w:tc>
        <w:tc>
          <w:tcPr>
            <w:tcW w:w="2835"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Общее количество несовершеннолетних жертв</w:t>
            </w:r>
          </w:p>
        </w:tc>
        <w:tc>
          <w:tcPr>
            <w:tcW w:w="2693"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Количество жертв, подвергшихся сексуальной эксплуатации</w:t>
            </w:r>
          </w:p>
        </w:tc>
        <w:tc>
          <w:tcPr>
            <w:tcW w:w="265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Количество жертв, подвергшихся трудовой эксплуатации</w:t>
            </w:r>
          </w:p>
        </w:tc>
      </w:tr>
      <w:tr w:rsidR="00D67E27" w:rsidRPr="000413EC" w:rsidTr="00273718">
        <w:tc>
          <w:tcPr>
            <w:tcW w:w="166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2005</w:t>
            </w:r>
          </w:p>
        </w:tc>
        <w:tc>
          <w:tcPr>
            <w:tcW w:w="2835"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61</w:t>
            </w:r>
          </w:p>
        </w:tc>
        <w:tc>
          <w:tcPr>
            <w:tcW w:w="2693"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59</w:t>
            </w:r>
          </w:p>
        </w:tc>
        <w:tc>
          <w:tcPr>
            <w:tcW w:w="265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w:t>
            </w:r>
          </w:p>
        </w:tc>
      </w:tr>
      <w:tr w:rsidR="00D67E27" w:rsidRPr="000413EC" w:rsidTr="00273718">
        <w:tc>
          <w:tcPr>
            <w:tcW w:w="166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2006</w:t>
            </w:r>
          </w:p>
        </w:tc>
        <w:tc>
          <w:tcPr>
            <w:tcW w:w="2835"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222</w:t>
            </w:r>
          </w:p>
        </w:tc>
        <w:tc>
          <w:tcPr>
            <w:tcW w:w="2693"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218</w:t>
            </w:r>
            <w:r w:rsidRPr="00920F86">
              <w:rPr>
                <w:vertAlign w:val="superscript"/>
              </w:rPr>
              <w:t>1</w:t>
            </w:r>
          </w:p>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(156 + 62)</w:t>
            </w:r>
          </w:p>
        </w:tc>
        <w:tc>
          <w:tcPr>
            <w:tcW w:w="265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4</w:t>
            </w:r>
          </w:p>
        </w:tc>
      </w:tr>
      <w:tr w:rsidR="00D67E27" w:rsidRPr="00FB50DE" w:rsidTr="00273718">
        <w:tc>
          <w:tcPr>
            <w:tcW w:w="166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2007</w:t>
            </w:r>
          </w:p>
        </w:tc>
        <w:tc>
          <w:tcPr>
            <w:tcW w:w="2835"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23</w:t>
            </w:r>
          </w:p>
        </w:tc>
        <w:tc>
          <w:tcPr>
            <w:tcW w:w="2693"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22</w:t>
            </w:r>
          </w:p>
        </w:tc>
        <w:tc>
          <w:tcPr>
            <w:tcW w:w="265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1</w:t>
            </w:r>
          </w:p>
        </w:tc>
      </w:tr>
      <w:tr w:rsidR="00D67E27" w:rsidRPr="00FB50DE" w:rsidTr="00273718">
        <w:tc>
          <w:tcPr>
            <w:tcW w:w="166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2008</w:t>
            </w:r>
          </w:p>
        </w:tc>
        <w:tc>
          <w:tcPr>
            <w:tcW w:w="2835"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103</w:t>
            </w:r>
          </w:p>
        </w:tc>
        <w:tc>
          <w:tcPr>
            <w:tcW w:w="2693"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103</w:t>
            </w:r>
          </w:p>
        </w:tc>
        <w:tc>
          <w:tcPr>
            <w:tcW w:w="265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rsidRPr="00562B2C">
              <w:t>0</w:t>
            </w:r>
          </w:p>
        </w:tc>
      </w:tr>
      <w:tr w:rsidR="00D67E27" w:rsidRPr="00FB50DE" w:rsidTr="00273718">
        <w:tc>
          <w:tcPr>
            <w:tcW w:w="1668" w:type="dxa"/>
          </w:tcPr>
          <w:p w:rsidR="00D67E27" w:rsidRPr="009E022C" w:rsidRDefault="00D67E27" w:rsidP="00EA5DA0">
            <w:pPr>
              <w:widowControl w:val="0"/>
              <w:tabs>
                <w:tab w:val="left" w:pos="1114"/>
              </w:tabs>
              <w:autoSpaceDE w:val="0"/>
              <w:autoSpaceDN w:val="0"/>
              <w:adjustRightInd w:val="0"/>
              <w:spacing w:after="0" w:line="240" w:lineRule="auto"/>
              <w:contextualSpacing/>
              <w:jc w:val="both"/>
            </w:pPr>
            <w:r w:rsidRPr="00562B2C">
              <w:t>2009</w:t>
            </w:r>
          </w:p>
        </w:tc>
        <w:tc>
          <w:tcPr>
            <w:tcW w:w="2835"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t>35</w:t>
            </w:r>
          </w:p>
        </w:tc>
        <w:tc>
          <w:tcPr>
            <w:tcW w:w="2693"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t>35</w:t>
            </w:r>
          </w:p>
        </w:tc>
        <w:tc>
          <w:tcPr>
            <w:tcW w:w="265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t>0</w:t>
            </w:r>
          </w:p>
        </w:tc>
      </w:tr>
      <w:tr w:rsidR="00D67E27" w:rsidRPr="00FB50DE" w:rsidTr="00273718">
        <w:tc>
          <w:tcPr>
            <w:tcW w:w="1668" w:type="dxa"/>
          </w:tcPr>
          <w:p w:rsidR="00D67E27" w:rsidRPr="00C34FEA" w:rsidRDefault="00D67E27" w:rsidP="00EA5DA0">
            <w:pPr>
              <w:widowControl w:val="0"/>
              <w:tabs>
                <w:tab w:val="left" w:pos="1114"/>
              </w:tabs>
              <w:autoSpaceDE w:val="0"/>
              <w:autoSpaceDN w:val="0"/>
              <w:adjustRightInd w:val="0"/>
              <w:spacing w:after="0" w:line="240" w:lineRule="auto"/>
              <w:contextualSpacing/>
              <w:jc w:val="both"/>
            </w:pPr>
            <w:r>
              <w:t>2010</w:t>
            </w:r>
          </w:p>
        </w:tc>
        <w:tc>
          <w:tcPr>
            <w:tcW w:w="2835" w:type="dxa"/>
          </w:tcPr>
          <w:p w:rsidR="00D67E27" w:rsidRDefault="00D67E27" w:rsidP="00EA5DA0">
            <w:pPr>
              <w:widowControl w:val="0"/>
              <w:tabs>
                <w:tab w:val="left" w:pos="1114"/>
              </w:tabs>
              <w:autoSpaceDE w:val="0"/>
              <w:autoSpaceDN w:val="0"/>
              <w:adjustRightInd w:val="0"/>
              <w:spacing w:after="0" w:line="240" w:lineRule="auto"/>
              <w:contextualSpacing/>
              <w:jc w:val="both"/>
            </w:pPr>
            <w:r>
              <w:t>26</w:t>
            </w:r>
          </w:p>
        </w:tc>
        <w:tc>
          <w:tcPr>
            <w:tcW w:w="2693" w:type="dxa"/>
          </w:tcPr>
          <w:p w:rsidR="00D67E27" w:rsidRDefault="00D67E27" w:rsidP="00EA5DA0">
            <w:pPr>
              <w:widowControl w:val="0"/>
              <w:tabs>
                <w:tab w:val="left" w:pos="1114"/>
              </w:tabs>
              <w:autoSpaceDE w:val="0"/>
              <w:autoSpaceDN w:val="0"/>
              <w:adjustRightInd w:val="0"/>
              <w:spacing w:after="0" w:line="240" w:lineRule="auto"/>
              <w:contextualSpacing/>
              <w:jc w:val="both"/>
            </w:pPr>
            <w:r>
              <w:t>26</w:t>
            </w:r>
          </w:p>
        </w:tc>
        <w:tc>
          <w:tcPr>
            <w:tcW w:w="2658" w:type="dxa"/>
          </w:tcPr>
          <w:p w:rsidR="00D67E27" w:rsidRDefault="00D67E27" w:rsidP="00EA5DA0">
            <w:pPr>
              <w:widowControl w:val="0"/>
              <w:tabs>
                <w:tab w:val="left" w:pos="1114"/>
              </w:tabs>
              <w:autoSpaceDE w:val="0"/>
              <w:autoSpaceDN w:val="0"/>
              <w:adjustRightInd w:val="0"/>
              <w:spacing w:after="0" w:line="240" w:lineRule="auto"/>
              <w:contextualSpacing/>
              <w:jc w:val="both"/>
            </w:pPr>
            <w:r>
              <w:t>0</w:t>
            </w:r>
          </w:p>
        </w:tc>
      </w:tr>
      <w:tr w:rsidR="00D67E27" w:rsidRPr="00FB50DE" w:rsidTr="00273718">
        <w:tc>
          <w:tcPr>
            <w:tcW w:w="1668" w:type="dxa"/>
          </w:tcPr>
          <w:p w:rsidR="00D67E27" w:rsidRDefault="00D67E27" w:rsidP="00EA5DA0">
            <w:pPr>
              <w:widowControl w:val="0"/>
              <w:tabs>
                <w:tab w:val="left" w:pos="1114"/>
              </w:tabs>
              <w:autoSpaceDE w:val="0"/>
              <w:autoSpaceDN w:val="0"/>
              <w:adjustRightInd w:val="0"/>
              <w:spacing w:after="0" w:line="240" w:lineRule="auto"/>
              <w:contextualSpacing/>
              <w:jc w:val="both"/>
            </w:pPr>
            <w:r>
              <w:t>2011</w:t>
            </w:r>
          </w:p>
        </w:tc>
        <w:tc>
          <w:tcPr>
            <w:tcW w:w="2835" w:type="dxa"/>
          </w:tcPr>
          <w:p w:rsidR="00D67E27" w:rsidRDefault="00D67E27" w:rsidP="00EA5DA0">
            <w:pPr>
              <w:widowControl w:val="0"/>
              <w:tabs>
                <w:tab w:val="left" w:pos="1114"/>
              </w:tabs>
              <w:autoSpaceDE w:val="0"/>
              <w:autoSpaceDN w:val="0"/>
              <w:adjustRightInd w:val="0"/>
              <w:spacing w:after="0" w:line="240" w:lineRule="auto"/>
              <w:contextualSpacing/>
              <w:jc w:val="both"/>
            </w:pPr>
            <w:r>
              <w:t>22</w:t>
            </w:r>
          </w:p>
        </w:tc>
        <w:tc>
          <w:tcPr>
            <w:tcW w:w="2693" w:type="dxa"/>
          </w:tcPr>
          <w:p w:rsidR="00D67E27" w:rsidRDefault="00D67E27" w:rsidP="00EA5DA0">
            <w:pPr>
              <w:widowControl w:val="0"/>
              <w:tabs>
                <w:tab w:val="left" w:pos="1114"/>
              </w:tabs>
              <w:autoSpaceDE w:val="0"/>
              <w:autoSpaceDN w:val="0"/>
              <w:adjustRightInd w:val="0"/>
              <w:spacing w:after="0" w:line="240" w:lineRule="auto"/>
              <w:contextualSpacing/>
              <w:jc w:val="both"/>
            </w:pPr>
            <w:r>
              <w:t>22</w:t>
            </w:r>
          </w:p>
        </w:tc>
        <w:tc>
          <w:tcPr>
            <w:tcW w:w="2658" w:type="dxa"/>
          </w:tcPr>
          <w:p w:rsidR="00D67E27" w:rsidRDefault="00D67E27" w:rsidP="00EA5DA0">
            <w:pPr>
              <w:widowControl w:val="0"/>
              <w:tabs>
                <w:tab w:val="left" w:pos="1114"/>
              </w:tabs>
              <w:autoSpaceDE w:val="0"/>
              <w:autoSpaceDN w:val="0"/>
              <w:adjustRightInd w:val="0"/>
              <w:spacing w:after="0" w:line="240" w:lineRule="auto"/>
              <w:contextualSpacing/>
              <w:jc w:val="both"/>
            </w:pPr>
            <w:r>
              <w:t>0</w:t>
            </w:r>
          </w:p>
        </w:tc>
      </w:tr>
      <w:tr w:rsidR="00D67E27" w:rsidRPr="00FB50DE" w:rsidTr="00273718">
        <w:tc>
          <w:tcPr>
            <w:tcW w:w="1668" w:type="dxa"/>
          </w:tcPr>
          <w:p w:rsidR="00D67E27" w:rsidRDefault="00D67E27" w:rsidP="00EA5DA0">
            <w:pPr>
              <w:widowControl w:val="0"/>
              <w:tabs>
                <w:tab w:val="left" w:pos="1114"/>
              </w:tabs>
              <w:autoSpaceDE w:val="0"/>
              <w:autoSpaceDN w:val="0"/>
              <w:adjustRightInd w:val="0"/>
              <w:spacing w:after="0" w:line="240" w:lineRule="auto"/>
              <w:contextualSpacing/>
              <w:jc w:val="both"/>
            </w:pPr>
            <w:r>
              <w:t>2012</w:t>
            </w:r>
          </w:p>
        </w:tc>
        <w:tc>
          <w:tcPr>
            <w:tcW w:w="2835" w:type="dxa"/>
          </w:tcPr>
          <w:p w:rsidR="00D67E27" w:rsidRDefault="00D67E27" w:rsidP="00EA5DA0">
            <w:pPr>
              <w:widowControl w:val="0"/>
              <w:tabs>
                <w:tab w:val="left" w:pos="1114"/>
              </w:tabs>
              <w:autoSpaceDE w:val="0"/>
              <w:autoSpaceDN w:val="0"/>
              <w:adjustRightInd w:val="0"/>
              <w:spacing w:after="0" w:line="240" w:lineRule="auto"/>
              <w:contextualSpacing/>
              <w:jc w:val="both"/>
            </w:pPr>
            <w:r>
              <w:t>45</w:t>
            </w:r>
          </w:p>
        </w:tc>
        <w:tc>
          <w:tcPr>
            <w:tcW w:w="2693" w:type="dxa"/>
          </w:tcPr>
          <w:p w:rsidR="00D67E27" w:rsidRDefault="00D67E27" w:rsidP="00EA5DA0">
            <w:pPr>
              <w:widowControl w:val="0"/>
              <w:tabs>
                <w:tab w:val="left" w:pos="1114"/>
              </w:tabs>
              <w:autoSpaceDE w:val="0"/>
              <w:autoSpaceDN w:val="0"/>
              <w:adjustRightInd w:val="0"/>
              <w:spacing w:after="0" w:line="240" w:lineRule="auto"/>
              <w:contextualSpacing/>
              <w:jc w:val="both"/>
            </w:pPr>
            <w:r>
              <w:t>45</w:t>
            </w:r>
            <w:r w:rsidRPr="00920F86">
              <w:rPr>
                <w:vertAlign w:val="superscript"/>
              </w:rPr>
              <w:t>2</w:t>
            </w:r>
          </w:p>
        </w:tc>
        <w:tc>
          <w:tcPr>
            <w:tcW w:w="2658" w:type="dxa"/>
          </w:tcPr>
          <w:p w:rsidR="00D67E27" w:rsidRDefault="00D67E27" w:rsidP="00EA5DA0">
            <w:pPr>
              <w:widowControl w:val="0"/>
              <w:tabs>
                <w:tab w:val="left" w:pos="1114"/>
              </w:tabs>
              <w:autoSpaceDE w:val="0"/>
              <w:autoSpaceDN w:val="0"/>
              <w:adjustRightInd w:val="0"/>
              <w:spacing w:after="0" w:line="240" w:lineRule="auto"/>
              <w:contextualSpacing/>
              <w:jc w:val="both"/>
            </w:pPr>
            <w:r>
              <w:t>0</w:t>
            </w:r>
          </w:p>
        </w:tc>
      </w:tr>
      <w:tr w:rsidR="00D67E27" w:rsidRPr="00FB50DE" w:rsidTr="00273718">
        <w:tc>
          <w:tcPr>
            <w:tcW w:w="1668" w:type="dxa"/>
          </w:tcPr>
          <w:p w:rsidR="00D67E27" w:rsidRDefault="00D67E27" w:rsidP="00EA5DA0">
            <w:pPr>
              <w:widowControl w:val="0"/>
              <w:tabs>
                <w:tab w:val="left" w:pos="1114"/>
              </w:tabs>
              <w:autoSpaceDE w:val="0"/>
              <w:autoSpaceDN w:val="0"/>
              <w:adjustRightInd w:val="0"/>
              <w:spacing w:after="0" w:line="240" w:lineRule="auto"/>
              <w:contextualSpacing/>
              <w:jc w:val="both"/>
            </w:pPr>
            <w:r>
              <w:t>2013</w:t>
            </w:r>
          </w:p>
        </w:tc>
        <w:tc>
          <w:tcPr>
            <w:tcW w:w="2835" w:type="dxa"/>
          </w:tcPr>
          <w:p w:rsidR="00D67E27" w:rsidRDefault="00D67E27" w:rsidP="00EA5DA0">
            <w:pPr>
              <w:widowControl w:val="0"/>
              <w:tabs>
                <w:tab w:val="left" w:pos="1114"/>
              </w:tabs>
              <w:autoSpaceDE w:val="0"/>
              <w:autoSpaceDN w:val="0"/>
              <w:adjustRightInd w:val="0"/>
              <w:spacing w:after="0" w:line="240" w:lineRule="auto"/>
              <w:contextualSpacing/>
              <w:jc w:val="both"/>
            </w:pPr>
            <w:r>
              <w:t>14</w:t>
            </w:r>
          </w:p>
        </w:tc>
        <w:tc>
          <w:tcPr>
            <w:tcW w:w="2693" w:type="dxa"/>
          </w:tcPr>
          <w:p w:rsidR="00D67E27" w:rsidRDefault="00D67E27" w:rsidP="00EA5DA0">
            <w:pPr>
              <w:widowControl w:val="0"/>
              <w:tabs>
                <w:tab w:val="left" w:pos="1114"/>
              </w:tabs>
              <w:autoSpaceDE w:val="0"/>
              <w:autoSpaceDN w:val="0"/>
              <w:adjustRightInd w:val="0"/>
              <w:spacing w:after="0" w:line="240" w:lineRule="auto"/>
              <w:contextualSpacing/>
              <w:jc w:val="both"/>
            </w:pPr>
            <w:r>
              <w:t>14</w:t>
            </w:r>
            <w:r w:rsidRPr="007A6939">
              <w:rPr>
                <w:vertAlign w:val="superscript"/>
              </w:rPr>
              <w:t>3</w:t>
            </w:r>
          </w:p>
        </w:tc>
        <w:tc>
          <w:tcPr>
            <w:tcW w:w="2658" w:type="dxa"/>
          </w:tcPr>
          <w:p w:rsidR="00D67E27" w:rsidRDefault="00D67E27" w:rsidP="00EA5DA0">
            <w:pPr>
              <w:widowControl w:val="0"/>
              <w:tabs>
                <w:tab w:val="left" w:pos="1114"/>
              </w:tabs>
              <w:autoSpaceDE w:val="0"/>
              <w:autoSpaceDN w:val="0"/>
              <w:adjustRightInd w:val="0"/>
              <w:spacing w:after="0" w:line="240" w:lineRule="auto"/>
              <w:contextualSpacing/>
              <w:jc w:val="both"/>
            </w:pPr>
            <w:r>
              <w:t>0</w:t>
            </w:r>
          </w:p>
        </w:tc>
      </w:tr>
      <w:tr w:rsidR="00D67E27" w:rsidRPr="00FB50DE" w:rsidTr="00273718">
        <w:tc>
          <w:tcPr>
            <w:tcW w:w="1668" w:type="dxa"/>
          </w:tcPr>
          <w:p w:rsidR="00D67E27" w:rsidRDefault="00D67E27" w:rsidP="00EA5DA0">
            <w:pPr>
              <w:widowControl w:val="0"/>
              <w:tabs>
                <w:tab w:val="left" w:pos="1114"/>
              </w:tabs>
              <w:autoSpaceDE w:val="0"/>
              <w:autoSpaceDN w:val="0"/>
              <w:adjustRightInd w:val="0"/>
              <w:spacing w:after="0" w:line="240" w:lineRule="auto"/>
              <w:contextualSpacing/>
              <w:jc w:val="both"/>
            </w:pPr>
            <w:r>
              <w:t>2014</w:t>
            </w:r>
          </w:p>
        </w:tc>
        <w:tc>
          <w:tcPr>
            <w:tcW w:w="2835" w:type="dxa"/>
          </w:tcPr>
          <w:p w:rsidR="00D67E27" w:rsidRDefault="00D67E27" w:rsidP="00EA5DA0">
            <w:pPr>
              <w:widowControl w:val="0"/>
              <w:tabs>
                <w:tab w:val="left" w:pos="1114"/>
              </w:tabs>
              <w:autoSpaceDE w:val="0"/>
              <w:autoSpaceDN w:val="0"/>
              <w:adjustRightInd w:val="0"/>
              <w:spacing w:after="0" w:line="240" w:lineRule="auto"/>
              <w:contextualSpacing/>
              <w:jc w:val="both"/>
            </w:pPr>
            <w:r>
              <w:t>12</w:t>
            </w:r>
          </w:p>
        </w:tc>
        <w:tc>
          <w:tcPr>
            <w:tcW w:w="2693" w:type="dxa"/>
          </w:tcPr>
          <w:p w:rsidR="00D67E27" w:rsidRDefault="00D67E27" w:rsidP="00EA5DA0">
            <w:pPr>
              <w:widowControl w:val="0"/>
              <w:tabs>
                <w:tab w:val="left" w:pos="1114"/>
              </w:tabs>
              <w:autoSpaceDE w:val="0"/>
              <w:autoSpaceDN w:val="0"/>
              <w:adjustRightInd w:val="0"/>
              <w:spacing w:after="0" w:line="240" w:lineRule="auto"/>
              <w:contextualSpacing/>
              <w:jc w:val="both"/>
            </w:pPr>
            <w:r>
              <w:t>12</w:t>
            </w:r>
            <w:r w:rsidRPr="00492E99">
              <w:rPr>
                <w:vertAlign w:val="superscript"/>
              </w:rPr>
              <w:t>4</w:t>
            </w:r>
          </w:p>
        </w:tc>
        <w:tc>
          <w:tcPr>
            <w:tcW w:w="2658" w:type="dxa"/>
          </w:tcPr>
          <w:p w:rsidR="00D67E27" w:rsidRDefault="00D67E27" w:rsidP="00EA5DA0">
            <w:pPr>
              <w:widowControl w:val="0"/>
              <w:tabs>
                <w:tab w:val="left" w:pos="1114"/>
              </w:tabs>
              <w:autoSpaceDE w:val="0"/>
              <w:autoSpaceDN w:val="0"/>
              <w:adjustRightInd w:val="0"/>
              <w:spacing w:after="0" w:line="240" w:lineRule="auto"/>
              <w:contextualSpacing/>
              <w:jc w:val="both"/>
            </w:pPr>
            <w:r>
              <w:t>0</w:t>
            </w:r>
          </w:p>
        </w:tc>
      </w:tr>
      <w:tr w:rsidR="00D67E27" w:rsidRPr="00FB50DE" w:rsidTr="00273718">
        <w:tc>
          <w:tcPr>
            <w:tcW w:w="1668" w:type="dxa"/>
          </w:tcPr>
          <w:p w:rsidR="00D67E27" w:rsidRPr="00562B2C" w:rsidRDefault="00D67E27" w:rsidP="00EA5DA0">
            <w:pPr>
              <w:widowControl w:val="0"/>
              <w:tabs>
                <w:tab w:val="left" w:pos="1114"/>
              </w:tabs>
              <w:autoSpaceDE w:val="0"/>
              <w:autoSpaceDN w:val="0"/>
              <w:adjustRightInd w:val="0"/>
              <w:spacing w:after="0" w:line="240" w:lineRule="auto"/>
              <w:contextualSpacing/>
              <w:jc w:val="both"/>
            </w:pPr>
            <w:r>
              <w:t>ИТОГО</w:t>
            </w:r>
          </w:p>
        </w:tc>
        <w:tc>
          <w:tcPr>
            <w:tcW w:w="2835" w:type="dxa"/>
          </w:tcPr>
          <w:p w:rsidR="00D67E27" w:rsidRDefault="00D67E27" w:rsidP="00EA5DA0">
            <w:pPr>
              <w:widowControl w:val="0"/>
              <w:tabs>
                <w:tab w:val="left" w:pos="1114"/>
              </w:tabs>
              <w:autoSpaceDE w:val="0"/>
              <w:autoSpaceDN w:val="0"/>
              <w:adjustRightInd w:val="0"/>
              <w:spacing w:after="0" w:line="240" w:lineRule="auto"/>
              <w:contextualSpacing/>
              <w:jc w:val="both"/>
            </w:pPr>
            <w:r>
              <w:t>563</w:t>
            </w:r>
          </w:p>
        </w:tc>
        <w:tc>
          <w:tcPr>
            <w:tcW w:w="2693" w:type="dxa"/>
          </w:tcPr>
          <w:p w:rsidR="00D67E27" w:rsidRDefault="00D67E27" w:rsidP="00EA5DA0">
            <w:pPr>
              <w:widowControl w:val="0"/>
              <w:tabs>
                <w:tab w:val="left" w:pos="1114"/>
              </w:tabs>
              <w:autoSpaceDE w:val="0"/>
              <w:autoSpaceDN w:val="0"/>
              <w:adjustRightInd w:val="0"/>
              <w:spacing w:after="0" w:line="240" w:lineRule="auto"/>
              <w:contextualSpacing/>
              <w:jc w:val="both"/>
            </w:pPr>
            <w:r>
              <w:t>556</w:t>
            </w:r>
          </w:p>
        </w:tc>
        <w:tc>
          <w:tcPr>
            <w:tcW w:w="2658" w:type="dxa"/>
          </w:tcPr>
          <w:p w:rsidR="00D67E27" w:rsidRDefault="00D67E27" w:rsidP="00EA5DA0">
            <w:pPr>
              <w:widowControl w:val="0"/>
              <w:tabs>
                <w:tab w:val="left" w:pos="1114"/>
              </w:tabs>
              <w:autoSpaceDE w:val="0"/>
              <w:autoSpaceDN w:val="0"/>
              <w:adjustRightInd w:val="0"/>
              <w:spacing w:after="0" w:line="240" w:lineRule="auto"/>
              <w:contextualSpacing/>
              <w:jc w:val="both"/>
            </w:pPr>
            <w:r>
              <w:t>7</w:t>
            </w:r>
          </w:p>
        </w:tc>
      </w:tr>
    </w:tbl>
    <w:p w:rsidR="00D67E27" w:rsidRPr="00524D6B" w:rsidRDefault="00D67E27" w:rsidP="00EA5DA0">
      <w:pPr>
        <w:widowControl w:val="0"/>
        <w:shd w:val="clear" w:color="auto" w:fill="FFFFFF"/>
        <w:tabs>
          <w:tab w:val="left" w:pos="1114"/>
        </w:tabs>
        <w:autoSpaceDE w:val="0"/>
        <w:autoSpaceDN w:val="0"/>
        <w:adjustRightInd w:val="0"/>
        <w:spacing w:after="0" w:line="240" w:lineRule="auto"/>
        <w:contextualSpacing/>
        <w:jc w:val="both"/>
      </w:pPr>
      <w:r w:rsidRPr="00920F86">
        <w:rPr>
          <w:vertAlign w:val="superscript"/>
        </w:rPr>
        <w:t>1</w:t>
      </w:r>
      <w:proofErr w:type="gramStart"/>
      <w:r>
        <w:rPr>
          <w:vertAlign w:val="superscript"/>
        </w:rPr>
        <w:t xml:space="preserve"> </w:t>
      </w:r>
      <w:r w:rsidRPr="00524D6B">
        <w:t>В</w:t>
      </w:r>
      <w:proofErr w:type="gramEnd"/>
      <w:r w:rsidRPr="00524D6B">
        <w:t xml:space="preserve"> 2006</w:t>
      </w:r>
      <w:r w:rsidRPr="00524D6B">
        <w:rPr>
          <w:b/>
          <w:bCs/>
        </w:rPr>
        <w:t xml:space="preserve"> </w:t>
      </w:r>
      <w:r w:rsidRPr="00524D6B">
        <w:t>году установлено 218 несовершеннолетних жертв торговли людьми, подвергшихся сексуальной эксплуатации, из них:</w:t>
      </w:r>
    </w:p>
    <w:p w:rsidR="00D67E27" w:rsidRPr="00524D6B" w:rsidRDefault="00D67E27" w:rsidP="00EA5DA0">
      <w:pPr>
        <w:widowControl w:val="0"/>
        <w:shd w:val="clear" w:color="auto" w:fill="FFFFFF"/>
        <w:tabs>
          <w:tab w:val="left" w:pos="1114"/>
        </w:tabs>
        <w:autoSpaceDE w:val="0"/>
        <w:autoSpaceDN w:val="0"/>
        <w:adjustRightInd w:val="0"/>
        <w:spacing w:after="0" w:line="240" w:lineRule="auto"/>
        <w:contextualSpacing/>
        <w:jc w:val="both"/>
      </w:pPr>
      <w:r w:rsidRPr="00524D6B">
        <w:t>– 156 несовершеннолетних идентифицировано в ходе расследования резонансного уголовного дела о модельном бизнесе (только две имели 13-летний возраст, все остальные – от 17 до 18 лет);</w:t>
      </w:r>
    </w:p>
    <w:p w:rsidR="00D67E27" w:rsidRDefault="00D67E27" w:rsidP="00EA5DA0">
      <w:pPr>
        <w:widowControl w:val="0"/>
        <w:shd w:val="clear" w:color="auto" w:fill="FFFFFF"/>
        <w:tabs>
          <w:tab w:val="left" w:pos="1114"/>
        </w:tabs>
        <w:autoSpaceDE w:val="0"/>
        <w:autoSpaceDN w:val="0"/>
        <w:adjustRightInd w:val="0"/>
        <w:spacing w:after="0" w:line="240" w:lineRule="auto"/>
        <w:contextualSpacing/>
        <w:jc w:val="both"/>
      </w:pPr>
      <w:r w:rsidRPr="00524D6B">
        <w:t>– 62 несовершеннолетние жертвы идентифицированы в рамках расследования всех остальных выявленных в 2006 году преступлений.</w:t>
      </w:r>
    </w:p>
    <w:p w:rsidR="00D67E27" w:rsidRDefault="00D67E27" w:rsidP="00EA5DA0">
      <w:pPr>
        <w:widowControl w:val="0"/>
        <w:shd w:val="clear" w:color="auto" w:fill="FFFFFF"/>
        <w:tabs>
          <w:tab w:val="left" w:pos="1114"/>
        </w:tabs>
        <w:autoSpaceDE w:val="0"/>
        <w:autoSpaceDN w:val="0"/>
        <w:adjustRightInd w:val="0"/>
        <w:spacing w:after="0" w:line="240" w:lineRule="auto"/>
        <w:contextualSpacing/>
        <w:jc w:val="both"/>
      </w:pPr>
    </w:p>
    <w:p w:rsidR="00D67E27" w:rsidRDefault="00D67E27" w:rsidP="00EA5DA0">
      <w:pPr>
        <w:widowControl w:val="0"/>
        <w:shd w:val="clear" w:color="auto" w:fill="FFFFFF"/>
        <w:tabs>
          <w:tab w:val="left" w:pos="1114"/>
        </w:tabs>
        <w:autoSpaceDE w:val="0"/>
        <w:autoSpaceDN w:val="0"/>
        <w:adjustRightInd w:val="0"/>
        <w:spacing w:after="0" w:line="240" w:lineRule="auto"/>
        <w:contextualSpacing/>
        <w:jc w:val="both"/>
      </w:pPr>
      <w:r w:rsidRPr="00920F86">
        <w:rPr>
          <w:vertAlign w:val="superscript"/>
        </w:rPr>
        <w:t>2</w:t>
      </w:r>
      <w:proofErr w:type="gramStart"/>
      <w:r>
        <w:t xml:space="preserve"> В</w:t>
      </w:r>
      <w:proofErr w:type="gramEnd"/>
      <w:r>
        <w:t xml:space="preserve"> 2012 году среди несовершеннолетних, пострадавших от сексуальной эксплуатации, установлено 33 жертвы (из них 8 малолетних), потерпевших от преступлений, предусмотренных частями 2, 3 статьи 343</w:t>
      </w:r>
      <w:r w:rsidRPr="00920F86">
        <w:rPr>
          <w:vertAlign w:val="superscript"/>
        </w:rPr>
        <w:t>1</w:t>
      </w:r>
      <w:r>
        <w:t xml:space="preserve"> УК Республики Беларусь (пострадали при </w:t>
      </w:r>
      <w:proofErr w:type="spellStart"/>
      <w:r>
        <w:t>порносъемках</w:t>
      </w:r>
      <w:proofErr w:type="spellEnd"/>
      <w:r>
        <w:t>).</w:t>
      </w:r>
    </w:p>
    <w:p w:rsidR="00D67E27" w:rsidRPr="00B1525A" w:rsidRDefault="00D67E27" w:rsidP="00EA5DA0">
      <w:pPr>
        <w:widowControl w:val="0"/>
        <w:shd w:val="clear" w:color="auto" w:fill="FFFFFF"/>
        <w:tabs>
          <w:tab w:val="left" w:pos="1114"/>
        </w:tabs>
        <w:autoSpaceDE w:val="0"/>
        <w:autoSpaceDN w:val="0"/>
        <w:adjustRightInd w:val="0"/>
        <w:spacing w:after="0" w:line="240" w:lineRule="auto"/>
        <w:contextualSpacing/>
        <w:jc w:val="both"/>
      </w:pPr>
    </w:p>
    <w:p w:rsidR="00D67E27" w:rsidRDefault="00D67E27" w:rsidP="00EA5DA0">
      <w:pPr>
        <w:widowControl w:val="0"/>
        <w:shd w:val="clear" w:color="auto" w:fill="FFFFFF"/>
        <w:tabs>
          <w:tab w:val="left" w:pos="1114"/>
        </w:tabs>
        <w:autoSpaceDE w:val="0"/>
        <w:autoSpaceDN w:val="0"/>
        <w:adjustRightInd w:val="0"/>
        <w:spacing w:after="0" w:line="240" w:lineRule="auto"/>
        <w:contextualSpacing/>
        <w:jc w:val="both"/>
      </w:pPr>
      <w:r>
        <w:rPr>
          <w:vertAlign w:val="superscript"/>
        </w:rPr>
        <w:t>3</w:t>
      </w:r>
      <w:proofErr w:type="gramStart"/>
      <w:r>
        <w:t xml:space="preserve"> В</w:t>
      </w:r>
      <w:proofErr w:type="gramEnd"/>
      <w:r>
        <w:t xml:space="preserve"> 2013 году среди несовершеннолетних, пострадавших от сексуальной эксплуатации, установлено 10 жертв (из них 7 малолетних), потерпевших от преступлений, предусмотренных частями 2, 3 статьи 343</w:t>
      </w:r>
      <w:r w:rsidRPr="00920F86">
        <w:rPr>
          <w:vertAlign w:val="superscript"/>
        </w:rPr>
        <w:t>1</w:t>
      </w:r>
      <w:r>
        <w:t xml:space="preserve"> УК Республики Беларусь (пострадали при </w:t>
      </w:r>
      <w:proofErr w:type="spellStart"/>
      <w:r>
        <w:t>порносъемках</w:t>
      </w:r>
      <w:proofErr w:type="spellEnd"/>
      <w:r>
        <w:t>).</w:t>
      </w:r>
    </w:p>
    <w:p w:rsidR="00D67E27" w:rsidRPr="00B1525A" w:rsidRDefault="00D67E27" w:rsidP="00EA5DA0">
      <w:pPr>
        <w:widowControl w:val="0"/>
        <w:shd w:val="clear" w:color="auto" w:fill="FFFFFF"/>
        <w:tabs>
          <w:tab w:val="left" w:pos="1114"/>
        </w:tabs>
        <w:autoSpaceDE w:val="0"/>
        <w:autoSpaceDN w:val="0"/>
        <w:adjustRightInd w:val="0"/>
        <w:spacing w:after="0" w:line="240" w:lineRule="auto"/>
        <w:contextualSpacing/>
        <w:jc w:val="both"/>
      </w:pPr>
    </w:p>
    <w:p w:rsidR="00D67E27" w:rsidRPr="00B1525A" w:rsidRDefault="00D67E27" w:rsidP="00EA5DA0">
      <w:pPr>
        <w:widowControl w:val="0"/>
        <w:shd w:val="clear" w:color="auto" w:fill="FFFFFF"/>
        <w:tabs>
          <w:tab w:val="left" w:pos="1114"/>
        </w:tabs>
        <w:autoSpaceDE w:val="0"/>
        <w:autoSpaceDN w:val="0"/>
        <w:adjustRightInd w:val="0"/>
        <w:spacing w:after="0" w:line="240" w:lineRule="auto"/>
        <w:contextualSpacing/>
        <w:jc w:val="both"/>
      </w:pPr>
      <w:r>
        <w:rPr>
          <w:vertAlign w:val="superscript"/>
        </w:rPr>
        <w:t>4</w:t>
      </w:r>
      <w:proofErr w:type="gramStart"/>
      <w:r>
        <w:t xml:space="preserve"> В</w:t>
      </w:r>
      <w:proofErr w:type="gramEnd"/>
      <w:r>
        <w:t xml:space="preserve"> 2014 году среди несовершеннолетних, пострадавших от сексуальной эксплуатации, установлены 8 жертв (из них 7 малолетних), потерпевших от преступлений, предусмотренных частями 2, 3 статьи 343</w:t>
      </w:r>
      <w:r w:rsidRPr="00920F86">
        <w:rPr>
          <w:vertAlign w:val="superscript"/>
        </w:rPr>
        <w:t>1</w:t>
      </w:r>
      <w:r>
        <w:t xml:space="preserve"> УК Республики Беларусь (пострадали при </w:t>
      </w:r>
      <w:proofErr w:type="spellStart"/>
      <w:r>
        <w:t>порносъемках</w:t>
      </w:r>
      <w:proofErr w:type="spellEnd"/>
      <w:r>
        <w:t>).</w:t>
      </w:r>
    </w:p>
    <w:p w:rsidR="00D67E27" w:rsidRPr="00497175" w:rsidRDefault="00D67E27" w:rsidP="00EA5DA0">
      <w:pPr>
        <w:spacing w:after="0" w:line="240" w:lineRule="auto"/>
        <w:contextualSpacing/>
        <w:jc w:val="both"/>
        <w:rPr>
          <w:sz w:val="30"/>
          <w:szCs w:val="30"/>
        </w:rPr>
      </w:pPr>
    </w:p>
    <w:p w:rsidR="00DB6B1D" w:rsidRPr="00DB6B1D" w:rsidRDefault="00DB6B1D" w:rsidP="008E1441">
      <w:pPr>
        <w:ind w:firstLine="708"/>
        <w:jc w:val="both"/>
        <w:rPr>
          <w:rFonts w:ascii="Times New Roman" w:hAnsi="Times New Roman" w:cs="Times New Roman"/>
          <w:sz w:val="30"/>
          <w:szCs w:val="30"/>
        </w:rPr>
      </w:pPr>
      <w:r w:rsidRPr="00DB6B1D">
        <w:rPr>
          <w:rFonts w:ascii="Times New Roman" w:hAnsi="Times New Roman" w:cs="Times New Roman"/>
          <w:sz w:val="30"/>
          <w:szCs w:val="30"/>
        </w:rPr>
        <w:t xml:space="preserve">Полезную информацию можно найти на сайтах </w:t>
      </w:r>
      <w:hyperlink r:id="rId5" w:history="1">
        <w:r w:rsidRPr="00DB6B1D">
          <w:rPr>
            <w:rStyle w:val="a4"/>
            <w:rFonts w:ascii="Times New Roman" w:hAnsi="Times New Roman" w:cs="Times New Roman"/>
            <w:sz w:val="30"/>
            <w:szCs w:val="30"/>
          </w:rPr>
          <w:t>http://mvd.gov.by</w:t>
        </w:r>
      </w:hyperlink>
      <w:r w:rsidRPr="00DB6B1D">
        <w:rPr>
          <w:rFonts w:ascii="Times New Roman" w:hAnsi="Times New Roman" w:cs="Times New Roman"/>
          <w:sz w:val="30"/>
          <w:szCs w:val="30"/>
        </w:rPr>
        <w:t xml:space="preserve"> и </w:t>
      </w:r>
      <w:hyperlink r:id="rId6" w:history="1">
        <w:r w:rsidRPr="00DB6B1D">
          <w:rPr>
            <w:rStyle w:val="a4"/>
            <w:rFonts w:ascii="Times New Roman" w:hAnsi="Times New Roman" w:cs="Times New Roman"/>
            <w:sz w:val="30"/>
            <w:szCs w:val="30"/>
          </w:rPr>
          <w:t>http://mfa.gov.by</w:t>
        </w:r>
      </w:hyperlink>
      <w:r w:rsidRPr="00DB6B1D">
        <w:rPr>
          <w:rFonts w:ascii="Times New Roman" w:hAnsi="Times New Roman" w:cs="Times New Roman"/>
          <w:sz w:val="30"/>
          <w:szCs w:val="30"/>
        </w:rPr>
        <w:t xml:space="preserve"> </w:t>
      </w:r>
    </w:p>
    <w:p w:rsidR="00D67E27" w:rsidRPr="00497175" w:rsidRDefault="00D67E27" w:rsidP="00EA5DA0">
      <w:pPr>
        <w:spacing w:after="0" w:line="240" w:lineRule="auto"/>
        <w:contextualSpacing/>
        <w:jc w:val="both"/>
        <w:rPr>
          <w:sz w:val="30"/>
          <w:szCs w:val="30"/>
        </w:rPr>
      </w:pPr>
    </w:p>
    <w:p w:rsidR="00D67E27" w:rsidRPr="005711A3" w:rsidRDefault="00D67E27" w:rsidP="00EA5DA0">
      <w:pPr>
        <w:spacing w:after="0" w:line="240" w:lineRule="auto"/>
        <w:contextualSpacing/>
        <w:jc w:val="both"/>
        <w:rPr>
          <w:b/>
          <w:sz w:val="30"/>
          <w:szCs w:val="30"/>
        </w:rPr>
      </w:pPr>
      <w:r w:rsidRPr="005711A3">
        <w:rPr>
          <w:b/>
          <w:sz w:val="30"/>
          <w:szCs w:val="30"/>
        </w:rPr>
        <w:t xml:space="preserve">Управление по </w:t>
      </w:r>
      <w:proofErr w:type="spellStart"/>
      <w:r w:rsidRPr="005711A3">
        <w:rPr>
          <w:b/>
          <w:sz w:val="30"/>
          <w:szCs w:val="30"/>
        </w:rPr>
        <w:t>наркоконтролю</w:t>
      </w:r>
      <w:proofErr w:type="spellEnd"/>
      <w:r w:rsidRPr="005711A3">
        <w:rPr>
          <w:b/>
          <w:sz w:val="30"/>
          <w:szCs w:val="30"/>
        </w:rPr>
        <w:t xml:space="preserve"> и противо</w:t>
      </w:r>
      <w:r>
        <w:rPr>
          <w:b/>
          <w:sz w:val="30"/>
          <w:szCs w:val="30"/>
        </w:rPr>
        <w:t>действию торговле людьми криминальной милиции МВД Республики Беларусь</w:t>
      </w:r>
    </w:p>
    <w:p w:rsidR="00D67E27" w:rsidRDefault="00D67E27"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bookmarkStart w:id="0" w:name="_GoBack"/>
      <w:bookmarkEnd w:id="0"/>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Default="00DD306C" w:rsidP="00EA5DA0">
      <w:pPr>
        <w:pStyle w:val="a3"/>
        <w:ind w:left="1068"/>
        <w:jc w:val="both"/>
        <w:rPr>
          <w:rFonts w:ascii="Times New Roman" w:hAnsi="Times New Roman" w:cs="Times New Roman"/>
          <w:sz w:val="30"/>
          <w:szCs w:val="30"/>
        </w:rPr>
      </w:pPr>
    </w:p>
    <w:p w:rsidR="00DD306C" w:rsidRPr="00DD306C" w:rsidRDefault="00DD306C" w:rsidP="00EA5DA0">
      <w:pPr>
        <w:pStyle w:val="a3"/>
        <w:ind w:left="1068"/>
        <w:jc w:val="both"/>
        <w:rPr>
          <w:rFonts w:ascii="Times New Roman" w:hAnsi="Times New Roman" w:cs="Times New Roman"/>
          <w:sz w:val="18"/>
          <w:szCs w:val="18"/>
        </w:rPr>
      </w:pPr>
    </w:p>
    <w:sectPr w:rsidR="00DD306C" w:rsidRPr="00DD306C" w:rsidSect="00D00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C70"/>
    <w:multiLevelType w:val="hybridMultilevel"/>
    <w:tmpl w:val="6A4A3888"/>
    <w:lvl w:ilvl="0" w:tplc="D1D2F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B7B6F"/>
    <w:rsid w:val="000B7B6F"/>
    <w:rsid w:val="003428E2"/>
    <w:rsid w:val="004136B8"/>
    <w:rsid w:val="008E1441"/>
    <w:rsid w:val="00D00615"/>
    <w:rsid w:val="00D67E27"/>
    <w:rsid w:val="00DB6B1D"/>
    <w:rsid w:val="00DD306C"/>
    <w:rsid w:val="00EA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E27"/>
    <w:pPr>
      <w:ind w:left="720"/>
      <w:contextualSpacing/>
    </w:pPr>
  </w:style>
  <w:style w:type="character" w:styleId="a4">
    <w:name w:val="Hyperlink"/>
    <w:basedOn w:val="a0"/>
    <w:uiPriority w:val="99"/>
    <w:unhideWhenUsed/>
    <w:rsid w:val="00D67E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E27"/>
    <w:pPr>
      <w:ind w:left="720"/>
      <w:contextualSpacing/>
    </w:pPr>
  </w:style>
  <w:style w:type="character" w:styleId="a4">
    <w:name w:val="Hyperlink"/>
    <w:basedOn w:val="a0"/>
    <w:uiPriority w:val="99"/>
    <w:unhideWhenUsed/>
    <w:rsid w:val="00D67E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a.gov.by" TargetMode="External"/><Relationship Id="rId5" Type="http://schemas.openxmlformats.org/officeDocument/2006/relationships/hyperlink" Target="http://mvd.gov.by"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2015-02-05T13:10:00Z</dcterms:created>
  <dcterms:modified xsi:type="dcterms:W3CDTF">2015-02-05T13:37:00Z</dcterms:modified>
</cp:coreProperties>
</file>